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237" w:rsidRDefault="00127237" w:rsidP="00127237">
      <w:pPr>
        <w:jc w:val="center"/>
        <w:rPr>
          <w:b/>
          <w:bCs/>
        </w:rPr>
      </w:pPr>
      <w:r>
        <w:rPr>
          <w:b/>
          <w:bCs/>
        </w:rPr>
        <w:t>ŠIAULIŲ LOPŠELIS-DARŽELIS „SIGUTĖ“, kodas 190525130</w:t>
      </w:r>
    </w:p>
    <w:p w:rsidR="00127237" w:rsidRDefault="00127237" w:rsidP="00127237">
      <w:pPr>
        <w:rPr>
          <w:b/>
          <w:bCs/>
        </w:rPr>
      </w:pPr>
    </w:p>
    <w:p w:rsidR="00127237" w:rsidRDefault="00127237" w:rsidP="00127237">
      <w:pPr>
        <w:ind w:left="2592" w:firstLine="1296"/>
        <w:rPr>
          <w:b/>
          <w:bCs/>
          <w:szCs w:val="24"/>
        </w:rPr>
      </w:pPr>
      <w:r>
        <w:rPr>
          <w:b/>
          <w:bCs/>
          <w:szCs w:val="24"/>
        </w:rPr>
        <w:t xml:space="preserve">                                      </w:t>
      </w:r>
      <w:r>
        <w:rPr>
          <w:szCs w:val="24"/>
          <w:lang w:val="pt-BR"/>
        </w:rPr>
        <w:t>PATVIRTINTA</w:t>
      </w:r>
    </w:p>
    <w:p w:rsidR="00127237" w:rsidRDefault="00127237" w:rsidP="00127237">
      <w:pPr>
        <w:ind w:left="2592" w:firstLine="1296"/>
        <w:rPr>
          <w:bCs/>
          <w:szCs w:val="24"/>
        </w:rPr>
      </w:pPr>
      <w:r>
        <w:rPr>
          <w:szCs w:val="24"/>
        </w:rPr>
        <w:t xml:space="preserve">     </w:t>
      </w:r>
      <w:r>
        <w:rPr>
          <w:szCs w:val="24"/>
        </w:rPr>
        <w:t xml:space="preserve">            </w:t>
      </w:r>
      <w:r>
        <w:rPr>
          <w:szCs w:val="24"/>
        </w:rPr>
        <w:tab/>
        <w:t xml:space="preserve">                </w:t>
      </w:r>
      <w:r>
        <w:rPr>
          <w:szCs w:val="24"/>
        </w:rPr>
        <w:t>Šiaulių</w:t>
      </w:r>
      <w:r>
        <w:rPr>
          <w:bCs/>
          <w:szCs w:val="24"/>
        </w:rPr>
        <w:t xml:space="preserve"> lopšelio-darželio „Sigutė“</w:t>
      </w:r>
      <w:r>
        <w:rPr>
          <w:szCs w:val="24"/>
        </w:rPr>
        <w:t xml:space="preserve"> </w:t>
      </w:r>
    </w:p>
    <w:p w:rsidR="00127237" w:rsidRDefault="00127237" w:rsidP="00127237">
      <w:pPr>
        <w:pStyle w:val="Pavadinimas"/>
        <w:ind w:left="3708"/>
        <w:jc w:val="left"/>
        <w:rPr>
          <w:b w:val="0"/>
          <w:sz w:val="24"/>
        </w:rPr>
      </w:pPr>
      <w:r>
        <w:rPr>
          <w:b w:val="0"/>
          <w:sz w:val="24"/>
        </w:rPr>
        <w:t xml:space="preserve">                                         direktoriaus 2021 m. gruodžio </w:t>
      </w:r>
      <w:r>
        <w:rPr>
          <w:b w:val="0"/>
          <w:sz w:val="24"/>
        </w:rPr>
        <w:t xml:space="preserve">23 </w:t>
      </w:r>
      <w:r>
        <w:rPr>
          <w:b w:val="0"/>
          <w:sz w:val="24"/>
        </w:rPr>
        <w:t>d.</w:t>
      </w:r>
      <w:r>
        <w:rPr>
          <w:sz w:val="24"/>
        </w:rPr>
        <w:t xml:space="preserve"> </w:t>
      </w:r>
    </w:p>
    <w:p w:rsidR="00127237" w:rsidRDefault="00127237" w:rsidP="00127237">
      <w:pPr>
        <w:pStyle w:val="Pavadinimas"/>
        <w:ind w:left="3708"/>
        <w:jc w:val="left"/>
        <w:rPr>
          <w:b w:val="0"/>
          <w:sz w:val="24"/>
        </w:rPr>
      </w:pPr>
      <w:r>
        <w:rPr>
          <w:b w:val="0"/>
          <w:sz w:val="24"/>
        </w:rPr>
        <w:t xml:space="preserve">                                        </w:t>
      </w:r>
      <w:r>
        <w:rPr>
          <w:b w:val="0"/>
          <w:sz w:val="24"/>
        </w:rPr>
        <w:t xml:space="preserve"> </w:t>
      </w:r>
      <w:r>
        <w:rPr>
          <w:b w:val="0"/>
          <w:sz w:val="24"/>
        </w:rPr>
        <w:t>įsakymu Nr. V-</w:t>
      </w:r>
      <w:r>
        <w:rPr>
          <w:b w:val="0"/>
          <w:sz w:val="24"/>
        </w:rPr>
        <w:t>1</w:t>
      </w:r>
      <w:bookmarkStart w:id="0" w:name="_GoBack"/>
      <w:bookmarkEnd w:id="0"/>
      <w:r>
        <w:rPr>
          <w:b w:val="0"/>
          <w:sz w:val="24"/>
        </w:rPr>
        <w:t>93</w:t>
      </w:r>
      <w:r>
        <w:rPr>
          <w:b w:val="0"/>
          <w:sz w:val="24"/>
        </w:rPr>
        <w:t xml:space="preserve"> (1.3)  </w:t>
      </w:r>
    </w:p>
    <w:p w:rsidR="00127237" w:rsidRDefault="00127237" w:rsidP="00127237">
      <w:pPr>
        <w:rPr>
          <w:b/>
          <w:bCs/>
          <w:szCs w:val="24"/>
        </w:rPr>
      </w:pPr>
    </w:p>
    <w:p w:rsidR="00127237" w:rsidRDefault="00127237" w:rsidP="00127237">
      <w:pPr>
        <w:tabs>
          <w:tab w:val="left" w:pos="851"/>
        </w:tabs>
        <w:jc w:val="center"/>
        <w:rPr>
          <w:b/>
          <w:bCs/>
        </w:rPr>
      </w:pPr>
      <w:r>
        <w:rPr>
          <w:b/>
          <w:bCs/>
        </w:rPr>
        <w:t>2022–2024 METŲ STRATEGINIS VEIKLOS PLANAS (19)</w:t>
      </w:r>
    </w:p>
    <w:p w:rsidR="00127237" w:rsidRDefault="00127237" w:rsidP="00127237">
      <w:pPr>
        <w:rPr>
          <w:b/>
          <w:bCs/>
        </w:rPr>
      </w:pPr>
    </w:p>
    <w:p w:rsidR="00127237" w:rsidRDefault="00127237" w:rsidP="00127237">
      <w:pPr>
        <w:jc w:val="center"/>
        <w:rPr>
          <w:rFonts w:eastAsia="Lucida Sans Unicode"/>
          <w:b/>
          <w:iCs/>
        </w:rPr>
      </w:pPr>
      <w:r>
        <w:rPr>
          <w:rFonts w:eastAsia="Lucida Sans Unicode"/>
          <w:b/>
          <w:iCs/>
        </w:rPr>
        <w:t>I SKYRIUS</w:t>
      </w:r>
    </w:p>
    <w:p w:rsidR="00127237" w:rsidRDefault="00127237" w:rsidP="00127237">
      <w:pPr>
        <w:ind w:left="2592"/>
        <w:rPr>
          <w:b/>
          <w:color w:val="000000"/>
        </w:rPr>
      </w:pPr>
      <w:r>
        <w:rPr>
          <w:rFonts w:eastAsia="Lucida Sans Unicode"/>
          <w:iCs/>
        </w:rPr>
        <w:t xml:space="preserve">              </w:t>
      </w:r>
      <w:r>
        <w:rPr>
          <w:b/>
          <w:color w:val="000000"/>
        </w:rPr>
        <w:t>VEIKLOS KONTEKSTAS</w:t>
      </w:r>
    </w:p>
    <w:p w:rsidR="00127237" w:rsidRDefault="00127237" w:rsidP="00127237">
      <w:pPr>
        <w:jc w:val="center"/>
        <w:rPr>
          <w:b/>
          <w:color w:val="000000"/>
          <w:u w:val="single"/>
        </w:rPr>
      </w:pPr>
    </w:p>
    <w:p w:rsidR="00127237" w:rsidRDefault="00127237" w:rsidP="00127237">
      <w:pPr>
        <w:ind w:firstLine="851"/>
        <w:jc w:val="both"/>
      </w:pPr>
      <w:r>
        <w:t xml:space="preserve">Šiaulių lopšelis-darželis „Sigutė“ (toliau </w:t>
      </w:r>
      <w:r>
        <w:rPr>
          <w:color w:val="000000"/>
        </w:rPr>
        <w:t>–</w:t>
      </w:r>
      <w:r>
        <w:t xml:space="preserve"> lopšelis-darželis) yra Šiaulių miesto savivaldybės biudžetinė įstaiga, kurioje teikiamos kokybiškos ugdymo ir ugdymosi paslaugos vaikui ir šeimai.</w:t>
      </w:r>
    </w:p>
    <w:p w:rsidR="00127237" w:rsidRDefault="00127237" w:rsidP="00127237">
      <w:pPr>
        <w:ind w:firstLine="851"/>
        <w:jc w:val="both"/>
      </w:pPr>
      <w:r>
        <w:t xml:space="preserve">Lopšelis-darželis savo veiklą grindžia Lietuvos Respublikos Konstitucija, Lietuvos Respublikos švietimo, biudžetinių įstaigų įstatymais, </w:t>
      </w:r>
      <w:r>
        <w:rPr>
          <w:color w:val="000000"/>
        </w:rPr>
        <w:t>Lietuvos Respublikos civiliniu kodeksu, Lietuvos Respublikos darbo kodeksu, Vaiko teisių</w:t>
      </w:r>
      <w:r>
        <w:t xml:space="preserve"> konvencija, Lietuvos Respublikos Vyriausybės nutarimais, Švietimo, mokslo ir sporto ministerijos teisės aktais, Valstybine švietimo strategija 2013–2022 metams, </w:t>
      </w:r>
      <w:r>
        <w:rPr>
          <w:color w:val="000000"/>
        </w:rPr>
        <w:t xml:space="preserve">Šiaulių miesto strateginiu plėtros planu, </w:t>
      </w:r>
      <w:r>
        <w:t xml:space="preserve">Šiaulių miesto savivaldybės tarybos priimamais sprendimais, kitais švietimui aktualiais </w:t>
      </w:r>
      <w:r>
        <w:rPr>
          <w:color w:val="000000"/>
        </w:rPr>
        <w:t>dokumentais ir lopšelio-darželio nuostatais</w:t>
      </w:r>
      <w:r>
        <w:t>.</w:t>
      </w:r>
    </w:p>
    <w:p w:rsidR="00127237" w:rsidRDefault="00127237" w:rsidP="00127237">
      <w:pPr>
        <w:ind w:firstLine="851"/>
        <w:jc w:val="both"/>
      </w:pPr>
      <w:r>
        <w:rPr>
          <w:color w:val="000000"/>
        </w:rPr>
        <w:t xml:space="preserve">Lopšelis-darželis yra atskaitingas savininko teises ir pareigas įgyvendinančiai institucijai – Šiaulių miesto savivaldybės tarybai. Šiaulių miesto savivaldybės taryba 2016 m. rugpjūčio 25 d. sprendimu Nr. T-325 patvirtino 2015–2024 metų Šiaulių miesto strateginį plėtros planą. Šio plano pagrindu parengtas Šiaulių miesto </w:t>
      </w:r>
      <w:r>
        <w:t xml:space="preserve">savivaldybės 2021–2023 metų strateginis veiklos planas. Įgyvendinant Šiaulių miesto savivaldybės 2021–2023 metų strateginio veiklos plano tikslą, parengtas Šiaulių lopšelio-darželio „Sigutė“ 2021–2023 metų strateginis veiklos planas. </w:t>
      </w:r>
      <w:r>
        <w:rPr>
          <w:color w:val="000000"/>
        </w:rPr>
        <w:t>Lopšelio-darželio vizija – užtikrinti pozityvią ir skatinančią ugdytis aplinką, kurioje kiekvienam vaikui sudaroma galimybė pajusti sėkmę.</w:t>
      </w:r>
    </w:p>
    <w:p w:rsidR="00127237" w:rsidRDefault="00127237" w:rsidP="00127237">
      <w:pPr>
        <w:ind w:firstLine="851"/>
        <w:jc w:val="both"/>
      </w:pPr>
      <w:r>
        <w:rPr>
          <w:color w:val="000000"/>
        </w:rPr>
        <w:t xml:space="preserve">Lopšelio-darželio misija – padėti kvalifikuotai ugdyti vaiką per ugdymo programą ir didelę mokymosi priemonių pasiūlą; puoselėti kiekvieno vaiko unikalius gebėjimus per jaukią aplinką, vaizduotę </w:t>
      </w:r>
      <w:r>
        <w:t>žadinančius žaidimus, prasmingą, kryptingą darbą bei patirtį menuose, gamtoje ir bendruomenėje.</w:t>
      </w:r>
    </w:p>
    <w:p w:rsidR="00127237" w:rsidRDefault="00127237" w:rsidP="00127237">
      <w:pPr>
        <w:ind w:firstLine="851"/>
        <w:jc w:val="both"/>
      </w:pPr>
      <w:r>
        <w:t>Šiuo metu lopšelį-darželį lanko 103</w:t>
      </w:r>
      <w:r>
        <w:rPr>
          <w:b/>
        </w:rPr>
        <w:t xml:space="preserve"> </w:t>
      </w:r>
      <w:r>
        <w:t>vaikai, įstaigoje veikia 6 ikimokyklinio amžiaus ugdymo grupės: 1 lopšelio, 2 ikimokyklinio amžiaus grupės, 2 skirtingo amžiaus ir 1 priešmokyklinio ugdymo grupė. Lopšelyje-darželyje sudarytos sąlygos ugdytis vaikams nuo gimimo iki vienerių metų.</w:t>
      </w:r>
    </w:p>
    <w:p w:rsidR="00127237" w:rsidRDefault="00127237" w:rsidP="00127237">
      <w:pPr>
        <w:ind w:firstLine="851"/>
        <w:jc w:val="both"/>
      </w:pPr>
      <w:r>
        <w:t>Lopšeliui-darželiui yra patvirtinti 32,25</w:t>
      </w:r>
      <w:r>
        <w:rPr>
          <w:b/>
        </w:rPr>
        <w:t xml:space="preserve"> </w:t>
      </w:r>
      <w:r>
        <w:t>etatai, iš jų – 15,5 etato finansuojama iš dviejų šaltinių (mokymo lėšų ir savivaldybės lėšų).</w:t>
      </w:r>
    </w:p>
    <w:p w:rsidR="00127237" w:rsidRDefault="00127237" w:rsidP="00127237">
      <w:pPr>
        <w:ind w:firstLine="851"/>
        <w:jc w:val="both"/>
      </w:pPr>
      <w:r>
        <w:t xml:space="preserve">Lopšelyje-darželyje dirba 30 darbuotojų, iš jų – 16 pedagogų (direktorius, direktoriaus pavaduotojas ugdymui, 10 ikimokyklinio ugdymo auklėtojų,1 priešmokyklinio ugdymo pedagogas, 1 meninio ugdymo mokytojas, 1 logopedas ir 1 socialinis pedagogas darbą pradės gruodžio 10 d.), kitų švietimo įstaigos darbuotojų – 14. </w:t>
      </w:r>
    </w:p>
    <w:p w:rsidR="00127237" w:rsidRDefault="00127237" w:rsidP="00127237">
      <w:pPr>
        <w:ind w:firstLine="851"/>
        <w:jc w:val="both"/>
      </w:pPr>
      <w:r>
        <w:t xml:space="preserve">Pedagogai yra atestuoti: 3 įgiję auklėtojo metodininko kvalifikaciją, 5 pedagogai turi vyresniojo auklėtojo kvalifikacinę kategoriją, 1 pedagogas vyresniojo logopedo kvalifikacinę kategoriją, 1 pedagogas vyresniojo muzikos mokytojo kvalifikacinę kategoriją. 3 auklėtojai ir vienas socialinis pedagogas įgyti aukštesnės kvalifikacinės kategorijos negali dėl reikiamo darbo stažo. </w:t>
      </w:r>
    </w:p>
    <w:p w:rsidR="00127237" w:rsidRDefault="00127237" w:rsidP="00127237">
      <w:pPr>
        <w:ind w:firstLine="851"/>
        <w:jc w:val="both"/>
      </w:pPr>
      <w:r>
        <w:t xml:space="preserve">Kasmet pedagogai tobulina savo kvalifikaciją kursuose ir seminaruose. 2021 metais dalyvauta nuotoliniuose seminaruose, konferencijose. Reguliarus pedagogų kvalifikacijos kėlimas, bendravimas su kitų Lietuvos savivaldybių ikimokyklinėmis įstaigomis ir darbo patirties sklaida padeda efektyvinti teikiamų paslaugų kokybę. </w:t>
      </w:r>
    </w:p>
    <w:p w:rsidR="00127237" w:rsidRDefault="00127237" w:rsidP="00127237">
      <w:pPr>
        <w:ind w:firstLine="851"/>
        <w:jc w:val="both"/>
      </w:pPr>
      <w:r>
        <w:t>Nepedagoginiams darbuotojams sudaroma galimybė kelti kvalifikaciją, nepriklausomai nuo užimamų pareigų. Su kiekvienu asmeniškai aptariama metinės veiklos vertinimo pokalbio metu.</w:t>
      </w:r>
    </w:p>
    <w:p w:rsidR="00127237" w:rsidRDefault="00127237" w:rsidP="00127237">
      <w:pPr>
        <w:ind w:firstLine="851"/>
        <w:jc w:val="both"/>
      </w:pPr>
    </w:p>
    <w:p w:rsidR="00127237" w:rsidRDefault="00127237" w:rsidP="00127237">
      <w:pPr>
        <w:ind w:firstLine="851"/>
        <w:jc w:val="both"/>
        <w:rPr>
          <w:color w:val="222222"/>
          <w:lang w:eastAsia="lt-LT"/>
        </w:rPr>
      </w:pPr>
      <w:r>
        <w:rPr>
          <w:color w:val="222222"/>
          <w:lang w:eastAsia="lt-LT"/>
        </w:rPr>
        <w:lastRenderedPageBreak/>
        <w:t xml:space="preserve">Atnaujintos edukacinės aplinkos: </w:t>
      </w:r>
      <w:r>
        <w:rPr>
          <w:lang w:eastAsia="lt-LT"/>
        </w:rPr>
        <w:t xml:space="preserve">įsigyta </w:t>
      </w:r>
      <w:r>
        <w:rPr>
          <w:sz w:val="14"/>
          <w:szCs w:val="14"/>
          <w:lang w:eastAsia="lt-LT"/>
        </w:rPr>
        <w:t xml:space="preserve"> </w:t>
      </w:r>
      <w:r>
        <w:rPr>
          <w:lang w:eastAsia="lt-LT"/>
        </w:rPr>
        <w:t xml:space="preserve">naujų ugdymosi priemonių vaikų ugdomajai veiklai organizuoti, STEAM veikloms organizuoti, </w:t>
      </w:r>
      <w:r>
        <w:rPr>
          <w:color w:val="222222"/>
          <w:lang w:eastAsia="lt-LT"/>
        </w:rPr>
        <w:t xml:space="preserve">atnaujintos 2 lauko žaidimų aikštelės (įsigyti įrenginiai, atitinkantys žaidimo aikštelių saugumo reikalavimus). </w:t>
      </w:r>
    </w:p>
    <w:p w:rsidR="00127237" w:rsidRDefault="00127237" w:rsidP="00127237">
      <w:pPr>
        <w:ind w:firstLine="851"/>
        <w:jc w:val="both"/>
        <w:rPr>
          <w:color w:val="222222"/>
          <w:lang w:eastAsia="lt-LT"/>
        </w:rPr>
      </w:pPr>
      <w:r>
        <w:rPr>
          <w:color w:val="222222"/>
          <w:lang w:eastAsia="lt-LT"/>
        </w:rPr>
        <w:t>Yra parengti 3 investicinių projektų aprašymai: Žaidimo aikštelių modernizavimui, Krepšinio aikštelės modernizavimui ir Teritorijoje esančių pėsčiųjų takų ir įvažiavimo dangos keitimo.</w:t>
      </w:r>
    </w:p>
    <w:p w:rsidR="00127237" w:rsidRDefault="00127237" w:rsidP="00127237">
      <w:pPr>
        <w:ind w:firstLine="851"/>
        <w:jc w:val="both"/>
        <w:rPr>
          <w:rFonts w:eastAsia="Calibri"/>
          <w:lang w:eastAsia="lt-LT"/>
        </w:rPr>
      </w:pPr>
      <w:r>
        <w:rPr>
          <w:color w:val="222222"/>
          <w:lang w:eastAsia="lt-LT"/>
        </w:rPr>
        <w:t xml:space="preserve">Dėl </w:t>
      </w:r>
      <w:proofErr w:type="spellStart"/>
      <w:r>
        <w:rPr>
          <w:color w:val="222222"/>
          <w:lang w:eastAsia="lt-LT"/>
        </w:rPr>
        <w:t>Covid</w:t>
      </w:r>
      <w:proofErr w:type="spellEnd"/>
      <w:r>
        <w:rPr>
          <w:color w:val="222222"/>
          <w:lang w:eastAsia="lt-LT"/>
        </w:rPr>
        <w:t xml:space="preserve"> 19 situacijos nebuvo plėtotas </w:t>
      </w:r>
      <w:proofErr w:type="spellStart"/>
      <w:r>
        <w:rPr>
          <w:color w:val="222222"/>
          <w:lang w:eastAsia="lt-LT"/>
        </w:rPr>
        <w:t>tarpinstitucinis</w:t>
      </w:r>
      <w:proofErr w:type="spellEnd"/>
      <w:r>
        <w:rPr>
          <w:color w:val="222222"/>
          <w:lang w:eastAsia="lt-LT"/>
        </w:rPr>
        <w:t xml:space="preserve"> bendradarbiavimas </w:t>
      </w:r>
      <w:r>
        <w:rPr>
          <w:rFonts w:eastAsia="Calibri"/>
          <w:lang w:eastAsia="lt-LT"/>
        </w:rPr>
        <w:t xml:space="preserve">su neformaliojo švietimo tiekėjais, nevyko bendradarbiavimas SKU modelio įgyvendinime. </w:t>
      </w:r>
    </w:p>
    <w:p w:rsidR="00127237" w:rsidRDefault="00127237" w:rsidP="00127237">
      <w:pPr>
        <w:ind w:firstLine="851"/>
        <w:jc w:val="both"/>
        <w:rPr>
          <w:color w:val="222222"/>
          <w:lang w:eastAsia="lt-LT"/>
        </w:rPr>
      </w:pPr>
      <w:r>
        <w:rPr>
          <w:iCs/>
        </w:rPr>
        <w:t xml:space="preserve">Lopšelis-darželis savo veiklą planuoja rengdamas ir įgyvendindamas: trejų metų strateginį veiklos planą; metinį veiklos planą; mėnesinius veiklos planus; grupių metinius ugdomuosius planus, vaikų ugdymo savaitinius planus. </w:t>
      </w:r>
      <w:r>
        <w:t>Ugdymas organizuojamas įgyvendinant ikimokyklinio ugdymo programą „Vaikystės sodas“, kurioje integruotas ir ugdymo modelis „Vaiko esminių gebėjimų ugdymas kompetencijų centruose“, STEAM veiklos. Dvejose ikimokyklinio amžiaus grupėse integruota socialinių-emocinių įgūdžių programa „</w:t>
      </w:r>
      <w:proofErr w:type="spellStart"/>
      <w:r>
        <w:t>Kimochi</w:t>
      </w:r>
      <w:proofErr w:type="spellEnd"/>
      <w:r>
        <w:t>“. Taip pat yra vykdoma programa „</w:t>
      </w:r>
      <w:proofErr w:type="spellStart"/>
      <w:r>
        <w:t>Zipio</w:t>
      </w:r>
      <w:proofErr w:type="spellEnd"/>
      <w:r>
        <w:t xml:space="preserve"> draugai“, ankstyvojo užsienio kalbos mokymo programa „Vokiečių kalba su </w:t>
      </w:r>
      <w:proofErr w:type="spellStart"/>
      <w:r>
        <w:t>Hans</w:t>
      </w:r>
      <w:proofErr w:type="spellEnd"/>
      <w:r>
        <w:t xml:space="preserve"> </w:t>
      </w:r>
      <w:proofErr w:type="spellStart"/>
      <w:r>
        <w:t>Hase</w:t>
      </w:r>
      <w:proofErr w:type="spellEnd"/>
      <w:r>
        <w:t xml:space="preserve"> priešmokyklinėje grupėje“.</w:t>
      </w:r>
    </w:p>
    <w:p w:rsidR="00127237" w:rsidRDefault="00127237" w:rsidP="00127237">
      <w:pPr>
        <w:ind w:firstLine="851"/>
        <w:jc w:val="both"/>
        <w:rPr>
          <w:iCs/>
        </w:rPr>
      </w:pPr>
      <w:r>
        <w:t>Visa bendruomenė nuosekliai kuria lopšelio-darželio eksterjerą, teikia idėjas visuotinių susirinkimų metu ir rodo iniciatyvą edukacinėms teritorijos erdvėms bei žaidimų aikštelėms transformuoti, siekiant konkrečių vaikų veiklų ir projektų organizavimui.</w:t>
      </w:r>
    </w:p>
    <w:p w:rsidR="00127237" w:rsidRDefault="00127237" w:rsidP="00127237">
      <w:pPr>
        <w:ind w:firstLine="851"/>
        <w:jc w:val="both"/>
      </w:pPr>
      <w:r>
        <w:t xml:space="preserve">Lopšelio-darželio veiklos (įsi)vertinimo koordinavimo komanda, pagal patvirtintą planą vertina lopšelio-darželio veiklos kokybę. </w:t>
      </w:r>
      <w:r>
        <w:rPr>
          <w:rFonts w:eastAsia="Calibri"/>
        </w:rPr>
        <w:t xml:space="preserve">Parengtas lopšelio-darželio veiklos kokybės (įsi)vertinimo organizavimo modelio priedas ir organizuotas įstaigos veiklos kokybės (įsi)vertinimas. Atliktas 2 srities „Ugdymas ir patirtys“ ( rodikliai: 2.1. Ugdymo planavimas; 2.2. Ugdytinių patirtys ir 2.3. Pedagogo vadovavimas) (įsi)vertinimas ir </w:t>
      </w:r>
      <w:r>
        <w:t>komandos pateiktos išvados ir rekomendacijos tikslingai panaudojamos planuojant lopšelio-darželio veiklą. Didelis dėmesys skiriamas veiklos įsivertinimui, kuris padeda numatyti veiklos kokybės gerinimo gaires. Finansų kontrolė vykdoma pagal lopšelio-darželio direktoriaus patvirtintas finansų kontrolės taisykles. Lopšelio-darželio finansinę veiklą kontroliuoja Valstybės kontrolės įgaliotos institucijos ir Šiaulių miesto savivaldybės įgalioti asmenys. Veiklą prižiūri Šiaulių miesto savivaldybės administracijos Žmonių gerovės ir ugdymo departamento Švietimo skyrius.</w:t>
      </w:r>
    </w:p>
    <w:p w:rsidR="00127237" w:rsidRDefault="00127237" w:rsidP="00127237">
      <w:pPr>
        <w:jc w:val="center"/>
        <w:rPr>
          <w:b/>
        </w:rPr>
      </w:pPr>
      <w:r>
        <w:rPr>
          <w:b/>
        </w:rPr>
        <w:t>SSGG analizė</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963"/>
      </w:tblGrid>
      <w:tr w:rsidR="00127237" w:rsidTr="00127237">
        <w:trPr>
          <w:trHeight w:val="388"/>
        </w:trPr>
        <w:tc>
          <w:tcPr>
            <w:tcW w:w="5670" w:type="dxa"/>
            <w:tcBorders>
              <w:top w:val="single" w:sz="4" w:space="0" w:color="auto"/>
              <w:left w:val="single" w:sz="4" w:space="0" w:color="auto"/>
              <w:bottom w:val="single" w:sz="4" w:space="0" w:color="auto"/>
              <w:right w:val="single" w:sz="4" w:space="0" w:color="auto"/>
            </w:tcBorders>
            <w:hideMark/>
          </w:tcPr>
          <w:p w:rsidR="00127237" w:rsidRDefault="00127237">
            <w:pPr>
              <w:jc w:val="center"/>
              <w:rPr>
                <w:rFonts w:eastAsia="Calibri"/>
                <w:b/>
                <w:szCs w:val="24"/>
              </w:rPr>
            </w:pPr>
            <w:r>
              <w:rPr>
                <w:rFonts w:eastAsia="Calibri"/>
                <w:b/>
                <w:szCs w:val="24"/>
              </w:rPr>
              <w:t>Stipriosios pusės</w:t>
            </w:r>
          </w:p>
        </w:tc>
        <w:tc>
          <w:tcPr>
            <w:tcW w:w="3963" w:type="dxa"/>
            <w:tcBorders>
              <w:top w:val="single" w:sz="4" w:space="0" w:color="auto"/>
              <w:left w:val="single" w:sz="4" w:space="0" w:color="auto"/>
              <w:bottom w:val="single" w:sz="4" w:space="0" w:color="auto"/>
              <w:right w:val="single" w:sz="4" w:space="0" w:color="auto"/>
            </w:tcBorders>
            <w:hideMark/>
          </w:tcPr>
          <w:p w:rsidR="00127237" w:rsidRDefault="00127237">
            <w:pPr>
              <w:jc w:val="center"/>
              <w:rPr>
                <w:rFonts w:eastAsia="Calibri"/>
                <w:szCs w:val="24"/>
              </w:rPr>
            </w:pPr>
            <w:r>
              <w:rPr>
                <w:rFonts w:eastAsia="Calibri"/>
                <w:b/>
                <w:szCs w:val="24"/>
              </w:rPr>
              <w:t>Silpnosios pusės</w:t>
            </w:r>
          </w:p>
        </w:tc>
      </w:tr>
      <w:tr w:rsidR="00127237" w:rsidTr="00127237">
        <w:trPr>
          <w:trHeight w:val="4204"/>
        </w:trPr>
        <w:tc>
          <w:tcPr>
            <w:tcW w:w="5670" w:type="dxa"/>
            <w:tcBorders>
              <w:top w:val="single" w:sz="4" w:space="0" w:color="auto"/>
              <w:left w:val="single" w:sz="4" w:space="0" w:color="auto"/>
              <w:bottom w:val="single" w:sz="4" w:space="0" w:color="auto"/>
              <w:right w:val="single" w:sz="4" w:space="0" w:color="auto"/>
            </w:tcBorders>
            <w:hideMark/>
          </w:tcPr>
          <w:p w:rsidR="00127237" w:rsidRDefault="00127237">
            <w:pPr>
              <w:rPr>
                <w:rFonts w:eastAsia="Calibri"/>
                <w:szCs w:val="24"/>
              </w:rPr>
            </w:pPr>
            <w:r>
              <w:rPr>
                <w:rFonts w:eastAsia="Calibri"/>
                <w:szCs w:val="24"/>
              </w:rPr>
              <w:t xml:space="preserve">1. Renovuotas bei modernizuotas lopšelio-darželio pastatas –patrauklus miesto bendruomenei, auginančiai ikimokyklinio amžiaus vaikus. </w:t>
            </w:r>
          </w:p>
          <w:p w:rsidR="00127237" w:rsidRDefault="00127237">
            <w:pPr>
              <w:jc w:val="both"/>
              <w:rPr>
                <w:rFonts w:eastAsia="Calibri"/>
                <w:szCs w:val="24"/>
              </w:rPr>
            </w:pPr>
            <w:r>
              <w:rPr>
                <w:rFonts w:eastAsia="Calibri"/>
                <w:szCs w:val="24"/>
              </w:rPr>
              <w:t>2. Organizuojamas ugdymas vaikams nuo gimimo iki vienerių metų.</w:t>
            </w:r>
          </w:p>
          <w:p w:rsidR="00127237" w:rsidRDefault="00127237">
            <w:pPr>
              <w:jc w:val="both"/>
              <w:rPr>
                <w:rFonts w:eastAsia="Calibri"/>
                <w:szCs w:val="24"/>
              </w:rPr>
            </w:pPr>
            <w:r>
              <w:rPr>
                <w:rFonts w:eastAsia="Calibri"/>
                <w:szCs w:val="24"/>
              </w:rPr>
              <w:t>3. Plėtojama projektinė veikla su socialiniais partneriais, orientuojantis į profesinį ugdymą.</w:t>
            </w:r>
          </w:p>
          <w:p w:rsidR="00127237" w:rsidRDefault="00127237">
            <w:pPr>
              <w:jc w:val="both"/>
              <w:rPr>
                <w:rFonts w:eastAsia="Calibri"/>
                <w:szCs w:val="24"/>
              </w:rPr>
            </w:pPr>
            <w:r>
              <w:rPr>
                <w:rFonts w:eastAsia="Calibri"/>
                <w:szCs w:val="24"/>
              </w:rPr>
              <w:t>4. Kūrybiškai vykdomas į vaiką ir jo poreikius bei individualią pažangą orientuotas ugdymas.</w:t>
            </w:r>
          </w:p>
          <w:p w:rsidR="00127237" w:rsidRDefault="00127237">
            <w:pPr>
              <w:jc w:val="both"/>
              <w:rPr>
                <w:rFonts w:eastAsia="Calibri"/>
                <w:szCs w:val="24"/>
              </w:rPr>
            </w:pPr>
            <w:r>
              <w:rPr>
                <w:rFonts w:eastAsia="Calibri"/>
                <w:szCs w:val="24"/>
              </w:rPr>
              <w:t>5. Teikiamas nemokamas neformalusis ugdymas visiems lopšelio-darželio vaikams, įgyvendinant edukacinę programą „Muzikos garsai“.</w:t>
            </w:r>
          </w:p>
          <w:p w:rsidR="00127237" w:rsidRDefault="00127237">
            <w:pPr>
              <w:jc w:val="both"/>
              <w:rPr>
                <w:rFonts w:eastAsia="Calibri"/>
                <w:szCs w:val="24"/>
              </w:rPr>
            </w:pPr>
            <w:r>
              <w:rPr>
                <w:rFonts w:eastAsia="Calibri"/>
                <w:szCs w:val="24"/>
              </w:rPr>
              <w:t>6. Ugdymo programos „Vaiko esminių gebėjimų ugdymas kompetencijų centruose“ integravimas į lopšelio-darželio ikimokyklinio ugdymo programą „Vaikystės sodas“.</w:t>
            </w:r>
          </w:p>
        </w:tc>
        <w:tc>
          <w:tcPr>
            <w:tcW w:w="3963" w:type="dxa"/>
            <w:tcBorders>
              <w:top w:val="single" w:sz="4" w:space="0" w:color="auto"/>
              <w:left w:val="single" w:sz="4" w:space="0" w:color="auto"/>
              <w:bottom w:val="single" w:sz="4" w:space="0" w:color="auto"/>
              <w:right w:val="single" w:sz="4" w:space="0" w:color="auto"/>
            </w:tcBorders>
            <w:hideMark/>
          </w:tcPr>
          <w:p w:rsidR="00127237" w:rsidRDefault="00127237">
            <w:pPr>
              <w:jc w:val="both"/>
              <w:rPr>
                <w:rFonts w:eastAsia="Calibri"/>
                <w:szCs w:val="24"/>
              </w:rPr>
            </w:pPr>
            <w:r>
              <w:rPr>
                <w:rFonts w:eastAsia="Calibri"/>
                <w:szCs w:val="24"/>
              </w:rPr>
              <w:t>1. Vidaus patalpų trūkumas stabdo neformaliojo ugdymo paslaugos teikimą išorės neformaliojo švietimo programų įgyvendinimui.</w:t>
            </w:r>
          </w:p>
          <w:p w:rsidR="00127237" w:rsidRDefault="00127237">
            <w:pPr>
              <w:jc w:val="both"/>
              <w:rPr>
                <w:rFonts w:eastAsia="Calibri"/>
                <w:szCs w:val="24"/>
              </w:rPr>
            </w:pPr>
            <w:r>
              <w:rPr>
                <w:rFonts w:eastAsia="Calibri"/>
                <w:szCs w:val="24"/>
              </w:rPr>
              <w:t>2. Teritorijoje esančių pėsčiųjų takų nesaugi danga.</w:t>
            </w:r>
          </w:p>
          <w:p w:rsidR="00127237" w:rsidRDefault="00127237">
            <w:pPr>
              <w:jc w:val="both"/>
              <w:rPr>
                <w:rFonts w:eastAsia="Calibri"/>
                <w:szCs w:val="24"/>
              </w:rPr>
            </w:pPr>
            <w:r>
              <w:rPr>
                <w:rFonts w:eastAsia="Calibri"/>
                <w:szCs w:val="24"/>
              </w:rPr>
              <w:t>3. Specialiųjų ugdymosi poreikių turinčių vaikų švietimo pagalbos teikimas dėl kintančio vaikų skaičiaus.</w:t>
            </w:r>
          </w:p>
          <w:p w:rsidR="00127237" w:rsidRDefault="00127237">
            <w:pPr>
              <w:jc w:val="both"/>
              <w:rPr>
                <w:rFonts w:eastAsia="Calibri"/>
                <w:szCs w:val="24"/>
              </w:rPr>
            </w:pPr>
            <w:r>
              <w:rPr>
                <w:rFonts w:eastAsia="Calibri"/>
                <w:szCs w:val="24"/>
              </w:rPr>
              <w:t>4. Trūksta edukacinėms lauko erdvėms tikslinių įrenginių.</w:t>
            </w:r>
            <w:r>
              <w:rPr>
                <w:rFonts w:eastAsia="Calibri"/>
                <w:color w:val="FF0000"/>
                <w:szCs w:val="24"/>
              </w:rPr>
              <w:t xml:space="preserve"> </w:t>
            </w:r>
            <w:r>
              <w:rPr>
                <w:rFonts w:eastAsia="Calibri"/>
                <w:szCs w:val="24"/>
              </w:rPr>
              <w:t xml:space="preserve">5. Sudarytos sąlygos </w:t>
            </w:r>
            <w:proofErr w:type="spellStart"/>
            <w:r>
              <w:rPr>
                <w:rFonts w:eastAsia="Calibri"/>
                <w:szCs w:val="24"/>
              </w:rPr>
              <w:t>robotikos</w:t>
            </w:r>
            <w:proofErr w:type="spellEnd"/>
            <w:r>
              <w:rPr>
                <w:rFonts w:eastAsia="Calibri"/>
                <w:szCs w:val="24"/>
              </w:rPr>
              <w:t xml:space="preserve"> būrelio veikloms vykdyti, tačiau dėl pandemijos ribojimų nevykdomos.</w:t>
            </w:r>
          </w:p>
        </w:tc>
      </w:tr>
      <w:tr w:rsidR="00127237" w:rsidTr="00127237">
        <w:tc>
          <w:tcPr>
            <w:tcW w:w="5670" w:type="dxa"/>
            <w:tcBorders>
              <w:top w:val="single" w:sz="4" w:space="0" w:color="auto"/>
              <w:left w:val="single" w:sz="4" w:space="0" w:color="auto"/>
              <w:bottom w:val="single" w:sz="4" w:space="0" w:color="auto"/>
              <w:right w:val="single" w:sz="4" w:space="0" w:color="auto"/>
            </w:tcBorders>
            <w:hideMark/>
          </w:tcPr>
          <w:p w:rsidR="00127237" w:rsidRDefault="00127237">
            <w:pPr>
              <w:jc w:val="center"/>
              <w:rPr>
                <w:rFonts w:eastAsia="Calibri"/>
                <w:b/>
                <w:szCs w:val="24"/>
              </w:rPr>
            </w:pPr>
            <w:r>
              <w:rPr>
                <w:rFonts w:eastAsia="Calibri"/>
                <w:b/>
                <w:szCs w:val="24"/>
              </w:rPr>
              <w:t>Galimybės</w:t>
            </w:r>
          </w:p>
        </w:tc>
        <w:tc>
          <w:tcPr>
            <w:tcW w:w="3963" w:type="dxa"/>
            <w:tcBorders>
              <w:top w:val="single" w:sz="4" w:space="0" w:color="auto"/>
              <w:left w:val="single" w:sz="4" w:space="0" w:color="auto"/>
              <w:bottom w:val="single" w:sz="4" w:space="0" w:color="auto"/>
              <w:right w:val="single" w:sz="4" w:space="0" w:color="auto"/>
            </w:tcBorders>
            <w:hideMark/>
          </w:tcPr>
          <w:p w:rsidR="00127237" w:rsidRDefault="00127237">
            <w:pPr>
              <w:jc w:val="center"/>
              <w:rPr>
                <w:rFonts w:eastAsia="Calibri"/>
                <w:szCs w:val="24"/>
              </w:rPr>
            </w:pPr>
            <w:r>
              <w:rPr>
                <w:rFonts w:eastAsia="Calibri"/>
                <w:b/>
                <w:szCs w:val="24"/>
              </w:rPr>
              <w:t>Grėsmės</w:t>
            </w:r>
          </w:p>
        </w:tc>
      </w:tr>
      <w:tr w:rsidR="00127237" w:rsidTr="00127237">
        <w:tc>
          <w:tcPr>
            <w:tcW w:w="5670" w:type="dxa"/>
            <w:tcBorders>
              <w:top w:val="single" w:sz="4" w:space="0" w:color="auto"/>
              <w:left w:val="single" w:sz="4" w:space="0" w:color="auto"/>
              <w:bottom w:val="single" w:sz="4" w:space="0" w:color="auto"/>
              <w:right w:val="single" w:sz="4" w:space="0" w:color="auto"/>
            </w:tcBorders>
            <w:hideMark/>
          </w:tcPr>
          <w:p w:rsidR="00127237" w:rsidRDefault="00127237">
            <w:pPr>
              <w:jc w:val="both"/>
              <w:rPr>
                <w:rFonts w:eastAsia="Calibri"/>
                <w:szCs w:val="24"/>
              </w:rPr>
            </w:pPr>
            <w:r>
              <w:rPr>
                <w:rFonts w:eastAsia="Calibri"/>
                <w:szCs w:val="24"/>
              </w:rPr>
              <w:t xml:space="preserve">1. Bendradarbiavimo plėtojimas su socialiniais partneriais SKU modelio įgyvendinime. </w:t>
            </w:r>
          </w:p>
          <w:p w:rsidR="00127237" w:rsidRDefault="00127237">
            <w:pPr>
              <w:rPr>
                <w:rFonts w:eastAsia="Calibri"/>
                <w:szCs w:val="24"/>
              </w:rPr>
            </w:pPr>
            <w:r>
              <w:rPr>
                <w:rFonts w:eastAsia="Calibri"/>
                <w:szCs w:val="24"/>
              </w:rPr>
              <w:lastRenderedPageBreak/>
              <w:t>2</w:t>
            </w:r>
            <w:r>
              <w:rPr>
                <w:rFonts w:eastAsia="Calibri"/>
                <w:color w:val="000000"/>
                <w:szCs w:val="24"/>
              </w:rPr>
              <w:t xml:space="preserve">. Edukacinių lauko erdvių plėtojimas </w:t>
            </w:r>
            <w:proofErr w:type="spellStart"/>
            <w:r>
              <w:rPr>
                <w:rFonts w:eastAsia="Calibri"/>
                <w:color w:val="000000"/>
                <w:szCs w:val="24"/>
              </w:rPr>
              <w:t>patyriminiam</w:t>
            </w:r>
            <w:proofErr w:type="spellEnd"/>
            <w:r>
              <w:rPr>
                <w:rFonts w:eastAsia="Calibri"/>
                <w:szCs w:val="24"/>
              </w:rPr>
              <w:t xml:space="preserve"> ugdymui (STEAM),</w:t>
            </w:r>
            <w:r>
              <w:rPr>
                <w:rFonts w:eastAsia="Calibri"/>
                <w:color w:val="FF0000"/>
                <w:szCs w:val="24"/>
              </w:rPr>
              <w:t xml:space="preserve"> </w:t>
            </w:r>
            <w:proofErr w:type="spellStart"/>
            <w:r>
              <w:rPr>
                <w:rFonts w:eastAsia="Calibri"/>
                <w:szCs w:val="24"/>
              </w:rPr>
              <w:t>sveikatinimo</w:t>
            </w:r>
            <w:proofErr w:type="spellEnd"/>
            <w:r>
              <w:rPr>
                <w:rFonts w:eastAsia="Calibri"/>
                <w:szCs w:val="24"/>
              </w:rPr>
              <w:t xml:space="preserve"> veikloms organizuoti. </w:t>
            </w:r>
          </w:p>
          <w:p w:rsidR="00127237" w:rsidRDefault="00127237">
            <w:pPr>
              <w:rPr>
                <w:rFonts w:eastAsia="Calibri"/>
                <w:szCs w:val="24"/>
              </w:rPr>
            </w:pPr>
            <w:r>
              <w:rPr>
                <w:rFonts w:eastAsia="Calibri"/>
                <w:szCs w:val="24"/>
              </w:rPr>
              <w:t>3</w:t>
            </w:r>
            <w:r>
              <w:rPr>
                <w:rFonts w:eastAsia="Calibri"/>
                <w:szCs w:val="24"/>
                <w:u w:val="single"/>
              </w:rPr>
              <w:t>. </w:t>
            </w:r>
            <w:r>
              <w:rPr>
                <w:rFonts w:eastAsia="Calibri"/>
                <w:szCs w:val="24"/>
              </w:rPr>
              <w:t>Skaitmeninių pedagogų kompetencijų tobulinimas ir dalyvavimas „</w:t>
            </w:r>
            <w:proofErr w:type="spellStart"/>
            <w:r>
              <w:rPr>
                <w:rFonts w:eastAsia="Calibri"/>
                <w:szCs w:val="24"/>
              </w:rPr>
              <w:t>eTwinning</w:t>
            </w:r>
            <w:proofErr w:type="spellEnd"/>
            <w:r>
              <w:rPr>
                <w:rFonts w:eastAsia="Calibri"/>
                <w:szCs w:val="24"/>
              </w:rPr>
              <w:t>“ platformoje su ikimokyklinių ugdymo įstaigų projektais.</w:t>
            </w:r>
          </w:p>
        </w:tc>
        <w:tc>
          <w:tcPr>
            <w:tcW w:w="3963" w:type="dxa"/>
            <w:tcBorders>
              <w:top w:val="single" w:sz="4" w:space="0" w:color="auto"/>
              <w:left w:val="single" w:sz="4" w:space="0" w:color="auto"/>
              <w:bottom w:val="single" w:sz="4" w:space="0" w:color="auto"/>
              <w:right w:val="single" w:sz="4" w:space="0" w:color="auto"/>
            </w:tcBorders>
            <w:hideMark/>
          </w:tcPr>
          <w:p w:rsidR="00127237" w:rsidRDefault="00127237">
            <w:pPr>
              <w:jc w:val="both"/>
              <w:rPr>
                <w:rFonts w:eastAsia="Calibri"/>
                <w:szCs w:val="24"/>
              </w:rPr>
            </w:pPr>
            <w:r>
              <w:rPr>
                <w:rFonts w:eastAsia="Calibri"/>
                <w:szCs w:val="24"/>
              </w:rPr>
              <w:lastRenderedPageBreak/>
              <w:t>1. Parengtų investicinių projektų įgyvendinimui neskiriamos lėšos.</w:t>
            </w:r>
          </w:p>
          <w:p w:rsidR="00127237" w:rsidRDefault="00127237">
            <w:pPr>
              <w:jc w:val="both"/>
              <w:rPr>
                <w:rFonts w:eastAsia="Calibri"/>
                <w:szCs w:val="24"/>
              </w:rPr>
            </w:pPr>
            <w:r>
              <w:rPr>
                <w:rFonts w:eastAsia="Calibri"/>
                <w:szCs w:val="24"/>
              </w:rPr>
              <w:lastRenderedPageBreak/>
              <w:t>2. Pedagogų ir švietimo pagalbą teikiančių specialistų trūkumas.</w:t>
            </w:r>
          </w:p>
        </w:tc>
      </w:tr>
    </w:tbl>
    <w:p w:rsidR="00127237" w:rsidRDefault="00127237" w:rsidP="00127237">
      <w:pPr>
        <w:jc w:val="both"/>
        <w:rPr>
          <w:iCs/>
        </w:rPr>
      </w:pPr>
    </w:p>
    <w:p w:rsidR="00127237" w:rsidRDefault="00127237" w:rsidP="00127237">
      <w:pPr>
        <w:ind w:firstLine="851"/>
        <w:jc w:val="both"/>
        <w:rPr>
          <w:iCs/>
        </w:rPr>
      </w:pPr>
      <w:r>
        <w:rPr>
          <w:iCs/>
        </w:rPr>
        <w:t xml:space="preserve">Lopšelio-darželio veikla finansuojama </w:t>
      </w:r>
      <w:r>
        <w:rPr>
          <w:iCs/>
          <w:color w:val="000000"/>
        </w:rPr>
        <w:t>iš savivaldybės ir valstybės</w:t>
      </w:r>
      <w:r>
        <w:rPr>
          <w:iCs/>
          <w:color w:val="FF0000"/>
        </w:rPr>
        <w:t xml:space="preserve"> </w:t>
      </w:r>
      <w:r>
        <w:rPr>
          <w:iCs/>
        </w:rPr>
        <w:t>biudžeto lėšų pagal asignavimų valdytojo patvirtintą sąmatą. Papildomos lėšos gaunamos iš specialiųjų programų, rėmėjų ir gyventojų metinio pajamų mokesčio. Finansinių išteklių racionalus naudojimas įgalina nuolat atnaujinti ugdymo(</w:t>
      </w:r>
      <w:proofErr w:type="spellStart"/>
      <w:r>
        <w:rPr>
          <w:iCs/>
        </w:rPr>
        <w:t>si</w:t>
      </w:r>
      <w:proofErr w:type="spellEnd"/>
      <w:r>
        <w:rPr>
          <w:iCs/>
        </w:rPr>
        <w:t>) priemones bei aplinkas; įrengti naujas edukacines erdves lauko teritorijoje; įsigyti IKT darbui bei ugdymo procesui organizuoti; atlikti patalpų remonto darbus bei atnaujinti virtuvės įrangą.</w:t>
      </w:r>
    </w:p>
    <w:p w:rsidR="00127237" w:rsidRDefault="00127237" w:rsidP="00127237">
      <w:pPr>
        <w:ind w:firstLine="851"/>
        <w:jc w:val="both"/>
        <w:rPr>
          <w:iCs/>
        </w:rPr>
      </w:pPr>
      <w:r>
        <w:t>2022 m. planuojama tęsti edukacinių lauko erdvių atnaujinimą, orientuojantis į vaikų fizinio aktyvumo skatinimą ir į STEAM veiklas orientuoto ugdymo vykdymą.</w:t>
      </w:r>
    </w:p>
    <w:p w:rsidR="00127237" w:rsidRDefault="00127237" w:rsidP="00127237">
      <w:pPr>
        <w:ind w:firstLine="851"/>
        <w:jc w:val="both"/>
        <w:rPr>
          <w:iCs/>
        </w:rPr>
      </w:pPr>
      <w:r>
        <w:rPr>
          <w:iCs/>
        </w:rPr>
        <w:t>Žaidimo aikštelėse išlieka aktualus jų modernizavimo klausimas – reikia saugios guminės dangos krepšinio aikštelėje, žaidimų aikštelėse , įvairios edukacinės įrangos, skirtos ugdytis lauke ir edukacinėms bei kompetencijų centrų veikloms organizuoti skirtų lauko pavėsinių ir suoliukų.</w:t>
      </w:r>
    </w:p>
    <w:p w:rsidR="00127237" w:rsidRDefault="00127237" w:rsidP="00127237">
      <w:pPr>
        <w:ind w:firstLine="851"/>
        <w:jc w:val="both"/>
        <w:rPr>
          <w:iCs/>
        </w:rPr>
      </w:pPr>
      <w:r>
        <w:rPr>
          <w:color w:val="000000"/>
        </w:rPr>
        <w:t>Siekdami užtikrinti visapusišką ir šiuolaikišką ugdymą skatiname lopšelio-darželio bendruomenės kūrybiškumą, savarankiškumą ir atsakomybę.</w:t>
      </w:r>
    </w:p>
    <w:p w:rsidR="00127237" w:rsidRDefault="00127237" w:rsidP="00127237">
      <w:pPr>
        <w:rPr>
          <w:color w:val="000000"/>
        </w:rPr>
      </w:pPr>
    </w:p>
    <w:p w:rsidR="00127237" w:rsidRDefault="00127237" w:rsidP="00127237">
      <w:pPr>
        <w:jc w:val="center"/>
        <w:rPr>
          <w:b/>
          <w:color w:val="000000"/>
        </w:rPr>
      </w:pPr>
      <w:r>
        <w:rPr>
          <w:b/>
          <w:color w:val="000000"/>
        </w:rPr>
        <w:t>II SKYRIUS</w:t>
      </w:r>
    </w:p>
    <w:p w:rsidR="00127237" w:rsidRDefault="00127237" w:rsidP="00127237">
      <w:pPr>
        <w:jc w:val="center"/>
        <w:rPr>
          <w:b/>
        </w:rPr>
      </w:pPr>
      <w:r>
        <w:rPr>
          <w:b/>
        </w:rPr>
        <w:t xml:space="preserve">01 TIKSLAS. IKIMOKYKLINIO IR PRIEŠMOKYKLINIO AMŽIAUS VAIKŲ UGDYMO POREIKIŲ TENKINIMAS </w:t>
      </w:r>
    </w:p>
    <w:p w:rsidR="00127237" w:rsidRDefault="00127237" w:rsidP="00127237">
      <w:pPr>
        <w:jc w:val="both"/>
        <w:rPr>
          <w:rFonts w:cs="Tahoma"/>
          <w:bCs/>
        </w:rPr>
      </w:pPr>
    </w:p>
    <w:tbl>
      <w:tblPr>
        <w:tblW w:w="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670"/>
        <w:gridCol w:w="993"/>
        <w:gridCol w:w="992"/>
        <w:gridCol w:w="992"/>
        <w:gridCol w:w="992"/>
      </w:tblGrid>
      <w:tr w:rsidR="00127237" w:rsidTr="00127237">
        <w:trPr>
          <w:trHeight w:val="466"/>
          <w:tblHeader/>
        </w:trPr>
        <w:tc>
          <w:tcPr>
            <w:tcW w:w="5670" w:type="dxa"/>
            <w:tcBorders>
              <w:top w:val="single" w:sz="2" w:space="0" w:color="auto"/>
              <w:left w:val="single" w:sz="2" w:space="0" w:color="auto"/>
              <w:bottom w:val="single" w:sz="2" w:space="0" w:color="auto"/>
              <w:right w:val="single" w:sz="2" w:space="0" w:color="auto"/>
            </w:tcBorders>
            <w:hideMark/>
          </w:tcPr>
          <w:p w:rsidR="00127237" w:rsidRDefault="00127237">
            <w:pPr>
              <w:pStyle w:val="Betarp"/>
              <w:snapToGrid w:val="0"/>
              <w:spacing w:line="252" w:lineRule="auto"/>
              <w:jc w:val="both"/>
              <w:rPr>
                <w:b/>
              </w:rPr>
            </w:pPr>
            <w:r>
              <w:rPr>
                <w:b/>
              </w:rPr>
              <w:t>Rezultato vertinimo kriterijaus pavadinimas ir mato vienetas</w:t>
            </w:r>
          </w:p>
        </w:tc>
        <w:tc>
          <w:tcPr>
            <w:tcW w:w="993" w:type="dxa"/>
            <w:tcBorders>
              <w:top w:val="single" w:sz="2" w:space="0" w:color="auto"/>
              <w:left w:val="single" w:sz="2" w:space="0" w:color="auto"/>
              <w:bottom w:val="single" w:sz="2" w:space="0" w:color="auto"/>
              <w:right w:val="single" w:sz="2" w:space="0" w:color="auto"/>
            </w:tcBorders>
            <w:hideMark/>
          </w:tcPr>
          <w:p w:rsidR="00127237" w:rsidRDefault="00127237">
            <w:pPr>
              <w:spacing w:line="252" w:lineRule="auto"/>
              <w:jc w:val="center"/>
              <w:rPr>
                <w:b/>
              </w:rPr>
            </w:pPr>
            <w:r>
              <w:rPr>
                <w:b/>
                <w:iCs/>
              </w:rPr>
              <w:t>2021</w:t>
            </w:r>
            <w:r>
              <w:rPr>
                <w:b/>
              </w:rPr>
              <w:t>-ųjų</w:t>
            </w:r>
          </w:p>
          <w:p w:rsidR="00127237" w:rsidRDefault="00127237">
            <w:pPr>
              <w:spacing w:line="252" w:lineRule="auto"/>
              <w:jc w:val="center"/>
              <w:rPr>
                <w:rFonts w:eastAsia="Arial"/>
                <w:b/>
              </w:rPr>
            </w:pPr>
            <w:r>
              <w:rPr>
                <w:b/>
              </w:rPr>
              <w:t>metų</w:t>
            </w:r>
          </w:p>
        </w:tc>
        <w:tc>
          <w:tcPr>
            <w:tcW w:w="992" w:type="dxa"/>
            <w:tcBorders>
              <w:top w:val="single" w:sz="2" w:space="0" w:color="auto"/>
              <w:left w:val="single" w:sz="2" w:space="0" w:color="auto"/>
              <w:bottom w:val="single" w:sz="2" w:space="0" w:color="auto"/>
              <w:right w:val="single" w:sz="2" w:space="0" w:color="auto"/>
            </w:tcBorders>
            <w:hideMark/>
          </w:tcPr>
          <w:p w:rsidR="00127237" w:rsidRDefault="00127237">
            <w:pPr>
              <w:spacing w:line="252" w:lineRule="auto"/>
              <w:jc w:val="center"/>
              <w:rPr>
                <w:b/>
                <w:iCs/>
              </w:rPr>
            </w:pPr>
            <w:r>
              <w:rPr>
                <w:b/>
                <w:iCs/>
              </w:rPr>
              <w:t>2022</w:t>
            </w:r>
            <w:r>
              <w:rPr>
                <w:b/>
              </w:rPr>
              <w:t>-ųjų metų</w:t>
            </w:r>
          </w:p>
        </w:tc>
        <w:tc>
          <w:tcPr>
            <w:tcW w:w="992" w:type="dxa"/>
            <w:tcBorders>
              <w:top w:val="single" w:sz="2" w:space="0" w:color="auto"/>
              <w:left w:val="single" w:sz="2" w:space="0" w:color="auto"/>
              <w:bottom w:val="single" w:sz="2" w:space="0" w:color="auto"/>
              <w:right w:val="single" w:sz="2" w:space="0" w:color="auto"/>
            </w:tcBorders>
            <w:hideMark/>
          </w:tcPr>
          <w:p w:rsidR="00127237" w:rsidRDefault="00127237">
            <w:pPr>
              <w:spacing w:line="252" w:lineRule="auto"/>
              <w:jc w:val="center"/>
              <w:rPr>
                <w:b/>
                <w:iCs/>
              </w:rPr>
            </w:pPr>
            <w:r>
              <w:rPr>
                <w:b/>
                <w:iCs/>
              </w:rPr>
              <w:t>2023</w:t>
            </w:r>
            <w:r>
              <w:rPr>
                <w:b/>
              </w:rPr>
              <w:t>-ųjų metų</w:t>
            </w:r>
          </w:p>
        </w:tc>
        <w:tc>
          <w:tcPr>
            <w:tcW w:w="992" w:type="dxa"/>
            <w:tcBorders>
              <w:top w:val="single" w:sz="2" w:space="0" w:color="auto"/>
              <w:left w:val="single" w:sz="2" w:space="0" w:color="auto"/>
              <w:bottom w:val="single" w:sz="2" w:space="0" w:color="auto"/>
              <w:right w:val="single" w:sz="4" w:space="0" w:color="auto"/>
            </w:tcBorders>
            <w:hideMark/>
          </w:tcPr>
          <w:p w:rsidR="00127237" w:rsidRDefault="00127237">
            <w:pPr>
              <w:spacing w:line="252" w:lineRule="auto"/>
              <w:jc w:val="center"/>
              <w:rPr>
                <w:b/>
                <w:iCs/>
              </w:rPr>
            </w:pPr>
            <w:r>
              <w:rPr>
                <w:b/>
                <w:iCs/>
              </w:rPr>
              <w:t xml:space="preserve">2024-ųjų </w:t>
            </w:r>
          </w:p>
          <w:p w:rsidR="00127237" w:rsidRDefault="00127237">
            <w:pPr>
              <w:spacing w:line="252" w:lineRule="auto"/>
              <w:jc w:val="center"/>
              <w:rPr>
                <w:b/>
                <w:iCs/>
              </w:rPr>
            </w:pPr>
            <w:r>
              <w:rPr>
                <w:b/>
                <w:iCs/>
              </w:rPr>
              <w:t>metų</w:t>
            </w:r>
          </w:p>
        </w:tc>
      </w:tr>
      <w:tr w:rsidR="00127237" w:rsidTr="00127237">
        <w:tc>
          <w:tcPr>
            <w:tcW w:w="5670" w:type="dxa"/>
            <w:tcBorders>
              <w:top w:val="single" w:sz="2" w:space="0" w:color="auto"/>
              <w:left w:val="single" w:sz="2" w:space="0" w:color="auto"/>
              <w:bottom w:val="single" w:sz="2" w:space="0" w:color="auto"/>
              <w:right w:val="single" w:sz="2" w:space="0" w:color="auto"/>
            </w:tcBorders>
            <w:hideMark/>
          </w:tcPr>
          <w:p w:rsidR="00127237" w:rsidRDefault="00127237">
            <w:pPr>
              <w:snapToGrid w:val="0"/>
              <w:spacing w:line="252" w:lineRule="auto"/>
              <w:jc w:val="both"/>
            </w:pPr>
            <w:r>
              <w:t>1. Pasiekta ugdytinių pažanga visose ugdymosi srityse (</w:t>
            </w:r>
            <w:r>
              <w:rPr>
                <w:lang w:val="en-US"/>
              </w:rPr>
              <w:t>%)</w:t>
            </w:r>
            <w:r>
              <w:t>.</w:t>
            </w:r>
          </w:p>
        </w:tc>
        <w:tc>
          <w:tcPr>
            <w:tcW w:w="993" w:type="dxa"/>
            <w:tcBorders>
              <w:top w:val="single" w:sz="2" w:space="0" w:color="auto"/>
              <w:left w:val="single" w:sz="2" w:space="0" w:color="auto"/>
              <w:bottom w:val="single" w:sz="2" w:space="0" w:color="auto"/>
              <w:right w:val="single" w:sz="2" w:space="0" w:color="auto"/>
            </w:tcBorders>
            <w:vAlign w:val="center"/>
            <w:hideMark/>
          </w:tcPr>
          <w:p w:rsidR="00127237" w:rsidRDefault="00127237">
            <w:pPr>
              <w:snapToGrid w:val="0"/>
              <w:spacing w:line="252" w:lineRule="auto"/>
              <w:jc w:val="center"/>
            </w:pPr>
            <w:r>
              <w:t>100</w:t>
            </w:r>
          </w:p>
        </w:tc>
        <w:tc>
          <w:tcPr>
            <w:tcW w:w="992" w:type="dxa"/>
            <w:tcBorders>
              <w:top w:val="single" w:sz="2" w:space="0" w:color="auto"/>
              <w:left w:val="single" w:sz="2" w:space="0" w:color="auto"/>
              <w:bottom w:val="single" w:sz="2" w:space="0" w:color="auto"/>
              <w:right w:val="single" w:sz="2" w:space="0" w:color="auto"/>
            </w:tcBorders>
            <w:vAlign w:val="center"/>
            <w:hideMark/>
          </w:tcPr>
          <w:p w:rsidR="00127237" w:rsidRDefault="00127237">
            <w:pPr>
              <w:snapToGrid w:val="0"/>
              <w:spacing w:line="252" w:lineRule="auto"/>
              <w:jc w:val="center"/>
            </w:pPr>
            <w:r>
              <w:t>100</w:t>
            </w:r>
          </w:p>
        </w:tc>
        <w:tc>
          <w:tcPr>
            <w:tcW w:w="992" w:type="dxa"/>
            <w:tcBorders>
              <w:top w:val="single" w:sz="2" w:space="0" w:color="auto"/>
              <w:left w:val="single" w:sz="2" w:space="0" w:color="auto"/>
              <w:bottom w:val="single" w:sz="2" w:space="0" w:color="auto"/>
              <w:right w:val="single" w:sz="2" w:space="0" w:color="auto"/>
            </w:tcBorders>
            <w:vAlign w:val="center"/>
            <w:hideMark/>
          </w:tcPr>
          <w:p w:rsidR="00127237" w:rsidRDefault="00127237">
            <w:pPr>
              <w:snapToGrid w:val="0"/>
              <w:spacing w:line="252" w:lineRule="auto"/>
              <w:jc w:val="center"/>
            </w:pPr>
            <w:r>
              <w:t>100</w:t>
            </w:r>
          </w:p>
        </w:tc>
        <w:tc>
          <w:tcPr>
            <w:tcW w:w="992" w:type="dxa"/>
            <w:tcBorders>
              <w:top w:val="single" w:sz="2" w:space="0" w:color="auto"/>
              <w:left w:val="single" w:sz="2" w:space="0" w:color="auto"/>
              <w:bottom w:val="single" w:sz="2" w:space="0" w:color="auto"/>
              <w:right w:val="single" w:sz="4" w:space="0" w:color="auto"/>
            </w:tcBorders>
            <w:vAlign w:val="center"/>
            <w:hideMark/>
          </w:tcPr>
          <w:p w:rsidR="00127237" w:rsidRDefault="00127237">
            <w:pPr>
              <w:snapToGrid w:val="0"/>
              <w:spacing w:line="252" w:lineRule="auto"/>
              <w:jc w:val="center"/>
            </w:pPr>
            <w:r>
              <w:t>100</w:t>
            </w:r>
          </w:p>
        </w:tc>
      </w:tr>
      <w:tr w:rsidR="00127237" w:rsidTr="00127237">
        <w:trPr>
          <w:trHeight w:val="319"/>
        </w:trPr>
        <w:tc>
          <w:tcPr>
            <w:tcW w:w="5670" w:type="dxa"/>
            <w:tcBorders>
              <w:top w:val="single" w:sz="2" w:space="0" w:color="auto"/>
              <w:left w:val="single" w:sz="2" w:space="0" w:color="auto"/>
              <w:bottom w:val="single" w:sz="2" w:space="0" w:color="auto"/>
              <w:right w:val="single" w:sz="2" w:space="0" w:color="auto"/>
            </w:tcBorders>
            <w:hideMark/>
          </w:tcPr>
          <w:p w:rsidR="00127237" w:rsidRDefault="00127237">
            <w:pPr>
              <w:pStyle w:val="Betarp"/>
              <w:snapToGrid w:val="0"/>
              <w:spacing w:line="252" w:lineRule="auto"/>
              <w:jc w:val="both"/>
            </w:pPr>
            <w:r>
              <w:t xml:space="preserve">2. Savalaikis švietimo pagalbos vaikui, kuriam nustatyti specialieji ugdymosi poreikiai, teikimas: </w:t>
            </w:r>
          </w:p>
          <w:p w:rsidR="00127237" w:rsidRDefault="00127237">
            <w:pPr>
              <w:pStyle w:val="Betarp"/>
              <w:snapToGrid w:val="0"/>
              <w:spacing w:line="252" w:lineRule="auto"/>
              <w:jc w:val="both"/>
              <w:rPr>
                <w:color w:val="000000"/>
              </w:rPr>
            </w:pPr>
            <w:r>
              <w:t>2.</w:t>
            </w:r>
            <w:r>
              <w:rPr>
                <w:color w:val="000000"/>
              </w:rPr>
              <w:t xml:space="preserve">1. </w:t>
            </w:r>
            <w:proofErr w:type="gramStart"/>
            <w:r>
              <w:rPr>
                <w:color w:val="000000"/>
                <w:lang w:val="en-US"/>
              </w:rPr>
              <w:t>logopedo</w:t>
            </w:r>
            <w:proofErr w:type="gramEnd"/>
            <w:r>
              <w:rPr>
                <w:color w:val="000000"/>
                <w:lang w:val="en-US"/>
              </w:rPr>
              <w:t xml:space="preserve"> </w:t>
            </w:r>
            <w:proofErr w:type="spellStart"/>
            <w:r>
              <w:rPr>
                <w:color w:val="000000"/>
                <w:lang w:val="en-US"/>
              </w:rPr>
              <w:t>etato</w:t>
            </w:r>
            <w:proofErr w:type="spellEnd"/>
            <w:r>
              <w:rPr>
                <w:color w:val="000000"/>
                <w:lang w:val="en-US"/>
              </w:rPr>
              <w:t xml:space="preserve"> </w:t>
            </w:r>
            <w:proofErr w:type="spellStart"/>
            <w:r>
              <w:rPr>
                <w:color w:val="000000"/>
                <w:lang w:val="en-US"/>
              </w:rPr>
              <w:t>skaičius</w:t>
            </w:r>
            <w:proofErr w:type="spellEnd"/>
            <w:r>
              <w:rPr>
                <w:color w:val="000000"/>
                <w:lang w:val="en-US"/>
              </w:rPr>
              <w:t xml:space="preserve"> (et.)</w:t>
            </w:r>
            <w:r>
              <w:rPr>
                <w:color w:val="000000"/>
              </w:rPr>
              <w:t>;</w:t>
            </w:r>
          </w:p>
          <w:p w:rsidR="00127237" w:rsidRDefault="00127237">
            <w:pPr>
              <w:pStyle w:val="Betarp"/>
              <w:snapToGrid w:val="0"/>
              <w:spacing w:line="252" w:lineRule="auto"/>
            </w:pPr>
            <w:r>
              <w:rPr>
                <w:color w:val="000000"/>
              </w:rPr>
              <w:t>2.2</w:t>
            </w:r>
            <w:r>
              <w:t xml:space="preserve">. socialinio pedagogo etato skaičius </w:t>
            </w:r>
            <w:r>
              <w:rPr>
                <w:lang w:val="en-US"/>
              </w:rPr>
              <w:t>(et.)</w:t>
            </w:r>
            <w:r>
              <w:t>;</w:t>
            </w:r>
          </w:p>
          <w:p w:rsidR="00127237" w:rsidRDefault="00127237">
            <w:pPr>
              <w:pStyle w:val="Betarp"/>
              <w:snapToGrid w:val="0"/>
              <w:spacing w:line="252" w:lineRule="auto"/>
            </w:pPr>
            <w:r>
              <w:rPr>
                <w:color w:val="000000"/>
              </w:rPr>
              <w:t>2.3</w:t>
            </w:r>
            <w:r>
              <w:t xml:space="preserve">. specialiojo pedagogo etato skaičius </w:t>
            </w:r>
            <w:r>
              <w:rPr>
                <w:lang w:val="en-US"/>
              </w:rPr>
              <w:t>(et.)</w:t>
            </w:r>
            <w:r>
              <w:t>.</w:t>
            </w:r>
          </w:p>
        </w:tc>
        <w:tc>
          <w:tcPr>
            <w:tcW w:w="993" w:type="dxa"/>
            <w:tcBorders>
              <w:top w:val="single" w:sz="2" w:space="0" w:color="auto"/>
              <w:left w:val="single" w:sz="2" w:space="0" w:color="auto"/>
              <w:bottom w:val="single" w:sz="2" w:space="0" w:color="auto"/>
              <w:right w:val="single" w:sz="2" w:space="0" w:color="auto"/>
            </w:tcBorders>
          </w:tcPr>
          <w:p w:rsidR="00127237" w:rsidRDefault="00127237">
            <w:pPr>
              <w:snapToGrid w:val="0"/>
              <w:spacing w:line="252" w:lineRule="auto"/>
              <w:jc w:val="center"/>
            </w:pPr>
          </w:p>
          <w:p w:rsidR="00127237" w:rsidRDefault="00127237">
            <w:pPr>
              <w:snapToGrid w:val="0"/>
              <w:spacing w:line="252" w:lineRule="auto"/>
            </w:pPr>
          </w:p>
          <w:p w:rsidR="00127237" w:rsidRDefault="00127237">
            <w:pPr>
              <w:snapToGrid w:val="0"/>
              <w:spacing w:line="252" w:lineRule="auto"/>
              <w:jc w:val="center"/>
            </w:pPr>
            <w:r>
              <w:t>1</w:t>
            </w:r>
          </w:p>
          <w:p w:rsidR="00127237" w:rsidRDefault="00127237">
            <w:pPr>
              <w:snapToGrid w:val="0"/>
              <w:spacing w:line="252" w:lineRule="auto"/>
              <w:jc w:val="center"/>
            </w:pPr>
            <w:r>
              <w:t>0,5</w:t>
            </w:r>
          </w:p>
          <w:p w:rsidR="00127237" w:rsidRDefault="00127237">
            <w:pPr>
              <w:snapToGrid w:val="0"/>
              <w:spacing w:line="252" w:lineRule="auto"/>
              <w:jc w:val="center"/>
            </w:pPr>
            <w:r>
              <w:t>–</w:t>
            </w:r>
          </w:p>
        </w:tc>
        <w:tc>
          <w:tcPr>
            <w:tcW w:w="992" w:type="dxa"/>
            <w:tcBorders>
              <w:top w:val="single" w:sz="2" w:space="0" w:color="auto"/>
              <w:left w:val="single" w:sz="2" w:space="0" w:color="auto"/>
              <w:bottom w:val="single" w:sz="2" w:space="0" w:color="auto"/>
              <w:right w:val="single" w:sz="2" w:space="0" w:color="auto"/>
            </w:tcBorders>
          </w:tcPr>
          <w:p w:rsidR="00127237" w:rsidRDefault="00127237">
            <w:pPr>
              <w:snapToGrid w:val="0"/>
              <w:spacing w:line="252" w:lineRule="auto"/>
              <w:jc w:val="center"/>
            </w:pPr>
          </w:p>
          <w:p w:rsidR="00127237" w:rsidRDefault="00127237">
            <w:pPr>
              <w:snapToGrid w:val="0"/>
              <w:spacing w:line="252" w:lineRule="auto"/>
            </w:pPr>
          </w:p>
          <w:p w:rsidR="00127237" w:rsidRDefault="00127237">
            <w:pPr>
              <w:snapToGrid w:val="0"/>
              <w:spacing w:line="252" w:lineRule="auto"/>
              <w:jc w:val="center"/>
            </w:pPr>
            <w:r>
              <w:t>1,25</w:t>
            </w:r>
          </w:p>
          <w:p w:rsidR="00127237" w:rsidRDefault="00127237">
            <w:pPr>
              <w:snapToGrid w:val="0"/>
              <w:spacing w:line="252" w:lineRule="auto"/>
              <w:jc w:val="center"/>
            </w:pPr>
            <w:r>
              <w:t>0,5</w:t>
            </w:r>
          </w:p>
          <w:p w:rsidR="00127237" w:rsidRDefault="00127237">
            <w:pPr>
              <w:snapToGrid w:val="0"/>
              <w:spacing w:line="252" w:lineRule="auto"/>
              <w:jc w:val="center"/>
            </w:pPr>
            <w:r>
              <w:t>0,25</w:t>
            </w:r>
          </w:p>
        </w:tc>
        <w:tc>
          <w:tcPr>
            <w:tcW w:w="992" w:type="dxa"/>
            <w:tcBorders>
              <w:top w:val="single" w:sz="2" w:space="0" w:color="auto"/>
              <w:left w:val="single" w:sz="2" w:space="0" w:color="auto"/>
              <w:bottom w:val="single" w:sz="2" w:space="0" w:color="auto"/>
              <w:right w:val="single" w:sz="2" w:space="0" w:color="auto"/>
            </w:tcBorders>
          </w:tcPr>
          <w:p w:rsidR="00127237" w:rsidRDefault="00127237">
            <w:pPr>
              <w:snapToGrid w:val="0"/>
              <w:spacing w:line="252" w:lineRule="auto"/>
              <w:jc w:val="center"/>
            </w:pPr>
          </w:p>
          <w:p w:rsidR="00127237" w:rsidRDefault="00127237">
            <w:pPr>
              <w:snapToGrid w:val="0"/>
              <w:spacing w:line="252" w:lineRule="auto"/>
            </w:pPr>
          </w:p>
          <w:p w:rsidR="00127237" w:rsidRDefault="00127237">
            <w:pPr>
              <w:snapToGrid w:val="0"/>
              <w:spacing w:line="252" w:lineRule="auto"/>
              <w:jc w:val="center"/>
            </w:pPr>
            <w:r>
              <w:t>1,25</w:t>
            </w:r>
          </w:p>
          <w:p w:rsidR="00127237" w:rsidRDefault="00127237">
            <w:pPr>
              <w:snapToGrid w:val="0"/>
              <w:spacing w:line="252" w:lineRule="auto"/>
              <w:jc w:val="center"/>
            </w:pPr>
            <w:r>
              <w:t>1</w:t>
            </w:r>
          </w:p>
          <w:p w:rsidR="00127237" w:rsidRDefault="00127237">
            <w:pPr>
              <w:snapToGrid w:val="0"/>
              <w:spacing w:line="252" w:lineRule="auto"/>
              <w:jc w:val="center"/>
            </w:pPr>
            <w:r>
              <w:t>0,25</w:t>
            </w:r>
          </w:p>
        </w:tc>
        <w:tc>
          <w:tcPr>
            <w:tcW w:w="992" w:type="dxa"/>
            <w:tcBorders>
              <w:top w:val="single" w:sz="2" w:space="0" w:color="auto"/>
              <w:left w:val="single" w:sz="2" w:space="0" w:color="auto"/>
              <w:bottom w:val="single" w:sz="2" w:space="0" w:color="auto"/>
              <w:right w:val="single" w:sz="4" w:space="0" w:color="auto"/>
            </w:tcBorders>
          </w:tcPr>
          <w:p w:rsidR="00127237" w:rsidRDefault="00127237">
            <w:pPr>
              <w:snapToGrid w:val="0"/>
              <w:spacing w:line="252" w:lineRule="auto"/>
              <w:jc w:val="center"/>
            </w:pPr>
          </w:p>
          <w:p w:rsidR="00127237" w:rsidRDefault="00127237">
            <w:pPr>
              <w:snapToGrid w:val="0"/>
              <w:spacing w:line="252" w:lineRule="auto"/>
            </w:pPr>
          </w:p>
          <w:p w:rsidR="00127237" w:rsidRDefault="00127237">
            <w:pPr>
              <w:snapToGrid w:val="0"/>
              <w:spacing w:line="252" w:lineRule="auto"/>
              <w:jc w:val="center"/>
            </w:pPr>
            <w:r>
              <w:t>1,25</w:t>
            </w:r>
          </w:p>
          <w:p w:rsidR="00127237" w:rsidRDefault="00127237">
            <w:pPr>
              <w:snapToGrid w:val="0"/>
              <w:spacing w:line="252" w:lineRule="auto"/>
              <w:jc w:val="center"/>
            </w:pPr>
            <w:r>
              <w:t>1</w:t>
            </w:r>
          </w:p>
          <w:p w:rsidR="00127237" w:rsidRDefault="00127237">
            <w:pPr>
              <w:snapToGrid w:val="0"/>
              <w:spacing w:line="252" w:lineRule="auto"/>
              <w:jc w:val="center"/>
            </w:pPr>
            <w:r>
              <w:t>0,25</w:t>
            </w:r>
          </w:p>
        </w:tc>
      </w:tr>
      <w:tr w:rsidR="00127237" w:rsidTr="00127237">
        <w:tc>
          <w:tcPr>
            <w:tcW w:w="5670" w:type="dxa"/>
            <w:tcBorders>
              <w:top w:val="single" w:sz="2" w:space="0" w:color="auto"/>
              <w:left w:val="single" w:sz="2" w:space="0" w:color="auto"/>
              <w:bottom w:val="single" w:sz="2" w:space="0" w:color="auto"/>
              <w:right w:val="single" w:sz="2" w:space="0" w:color="auto"/>
            </w:tcBorders>
            <w:hideMark/>
          </w:tcPr>
          <w:p w:rsidR="00127237" w:rsidRDefault="00127237">
            <w:pPr>
              <w:pStyle w:val="Betarp"/>
              <w:snapToGrid w:val="0"/>
              <w:spacing w:line="252" w:lineRule="auto"/>
              <w:jc w:val="both"/>
            </w:pPr>
            <w:r>
              <w:t>3. Įgyvendinti projektai ir programos (vnt.).</w:t>
            </w:r>
          </w:p>
        </w:tc>
        <w:tc>
          <w:tcPr>
            <w:tcW w:w="993" w:type="dxa"/>
            <w:tcBorders>
              <w:top w:val="single" w:sz="2" w:space="0" w:color="auto"/>
              <w:left w:val="single" w:sz="2" w:space="0" w:color="auto"/>
              <w:bottom w:val="single" w:sz="2" w:space="0" w:color="auto"/>
              <w:right w:val="single" w:sz="2" w:space="0" w:color="auto"/>
            </w:tcBorders>
            <w:hideMark/>
          </w:tcPr>
          <w:p w:rsidR="00127237" w:rsidRDefault="00127237">
            <w:pPr>
              <w:snapToGrid w:val="0"/>
              <w:spacing w:line="252" w:lineRule="auto"/>
              <w:jc w:val="center"/>
            </w:pPr>
            <w:r>
              <w:t>9</w:t>
            </w:r>
          </w:p>
        </w:tc>
        <w:tc>
          <w:tcPr>
            <w:tcW w:w="992" w:type="dxa"/>
            <w:tcBorders>
              <w:top w:val="single" w:sz="2" w:space="0" w:color="auto"/>
              <w:left w:val="single" w:sz="2" w:space="0" w:color="auto"/>
              <w:bottom w:val="single" w:sz="2" w:space="0" w:color="auto"/>
              <w:right w:val="single" w:sz="2" w:space="0" w:color="auto"/>
            </w:tcBorders>
            <w:hideMark/>
          </w:tcPr>
          <w:p w:rsidR="00127237" w:rsidRDefault="00127237">
            <w:pPr>
              <w:snapToGrid w:val="0"/>
              <w:spacing w:line="252" w:lineRule="auto"/>
              <w:jc w:val="center"/>
            </w:pPr>
            <w:r>
              <w:t>9</w:t>
            </w:r>
          </w:p>
        </w:tc>
        <w:tc>
          <w:tcPr>
            <w:tcW w:w="992" w:type="dxa"/>
            <w:tcBorders>
              <w:top w:val="single" w:sz="2" w:space="0" w:color="auto"/>
              <w:left w:val="single" w:sz="2" w:space="0" w:color="auto"/>
              <w:bottom w:val="single" w:sz="2" w:space="0" w:color="auto"/>
              <w:right w:val="single" w:sz="2" w:space="0" w:color="auto"/>
            </w:tcBorders>
            <w:hideMark/>
          </w:tcPr>
          <w:p w:rsidR="00127237" w:rsidRDefault="00127237">
            <w:pPr>
              <w:snapToGrid w:val="0"/>
              <w:spacing w:line="252" w:lineRule="auto"/>
              <w:jc w:val="center"/>
            </w:pPr>
            <w:r>
              <w:t>10</w:t>
            </w:r>
          </w:p>
        </w:tc>
        <w:tc>
          <w:tcPr>
            <w:tcW w:w="992" w:type="dxa"/>
            <w:tcBorders>
              <w:top w:val="single" w:sz="2" w:space="0" w:color="auto"/>
              <w:left w:val="single" w:sz="2" w:space="0" w:color="auto"/>
              <w:bottom w:val="single" w:sz="2" w:space="0" w:color="auto"/>
              <w:right w:val="single" w:sz="4" w:space="0" w:color="auto"/>
            </w:tcBorders>
            <w:hideMark/>
          </w:tcPr>
          <w:p w:rsidR="00127237" w:rsidRDefault="00127237">
            <w:pPr>
              <w:snapToGrid w:val="0"/>
              <w:spacing w:line="252" w:lineRule="auto"/>
              <w:jc w:val="center"/>
            </w:pPr>
            <w:r>
              <w:t>10</w:t>
            </w:r>
          </w:p>
        </w:tc>
      </w:tr>
      <w:tr w:rsidR="00127237" w:rsidTr="00127237">
        <w:tc>
          <w:tcPr>
            <w:tcW w:w="5670" w:type="dxa"/>
            <w:tcBorders>
              <w:top w:val="single" w:sz="2" w:space="0" w:color="auto"/>
              <w:left w:val="single" w:sz="2" w:space="0" w:color="auto"/>
              <w:bottom w:val="single" w:sz="2" w:space="0" w:color="auto"/>
              <w:right w:val="single" w:sz="2" w:space="0" w:color="auto"/>
            </w:tcBorders>
            <w:hideMark/>
          </w:tcPr>
          <w:p w:rsidR="00127237" w:rsidRPr="00127237" w:rsidRDefault="00127237">
            <w:pPr>
              <w:pStyle w:val="Betarp"/>
              <w:snapToGrid w:val="0"/>
              <w:spacing w:line="252" w:lineRule="auto"/>
              <w:jc w:val="both"/>
              <w:rPr>
                <w:color w:val="000000" w:themeColor="text1"/>
              </w:rPr>
            </w:pPr>
            <w:r w:rsidRPr="00127237">
              <w:rPr>
                <w:color w:val="000000" w:themeColor="text1"/>
              </w:rPr>
              <w:t>4. Įsigytos IT priemonės (vnt.).</w:t>
            </w:r>
          </w:p>
        </w:tc>
        <w:tc>
          <w:tcPr>
            <w:tcW w:w="993" w:type="dxa"/>
            <w:tcBorders>
              <w:top w:val="single" w:sz="2" w:space="0" w:color="auto"/>
              <w:left w:val="single" w:sz="2" w:space="0" w:color="auto"/>
              <w:bottom w:val="single" w:sz="2" w:space="0" w:color="auto"/>
              <w:right w:val="single" w:sz="2" w:space="0" w:color="auto"/>
            </w:tcBorders>
            <w:hideMark/>
          </w:tcPr>
          <w:p w:rsidR="00127237" w:rsidRPr="00127237" w:rsidRDefault="00127237">
            <w:pPr>
              <w:snapToGrid w:val="0"/>
              <w:spacing w:line="252" w:lineRule="auto"/>
              <w:jc w:val="center"/>
              <w:rPr>
                <w:color w:val="000000" w:themeColor="text1"/>
              </w:rPr>
            </w:pPr>
            <w:r w:rsidRPr="00127237">
              <w:rPr>
                <w:color w:val="000000" w:themeColor="text1"/>
              </w:rPr>
              <w:t>2</w:t>
            </w:r>
          </w:p>
        </w:tc>
        <w:tc>
          <w:tcPr>
            <w:tcW w:w="992" w:type="dxa"/>
            <w:tcBorders>
              <w:top w:val="single" w:sz="2" w:space="0" w:color="auto"/>
              <w:left w:val="single" w:sz="2" w:space="0" w:color="auto"/>
              <w:bottom w:val="single" w:sz="2" w:space="0" w:color="auto"/>
              <w:right w:val="single" w:sz="2" w:space="0" w:color="auto"/>
            </w:tcBorders>
            <w:hideMark/>
          </w:tcPr>
          <w:p w:rsidR="00127237" w:rsidRDefault="00127237">
            <w:pPr>
              <w:snapToGrid w:val="0"/>
              <w:spacing w:line="252" w:lineRule="auto"/>
              <w:jc w:val="center"/>
            </w:pPr>
            <w:r>
              <w:t>2</w:t>
            </w:r>
          </w:p>
        </w:tc>
        <w:tc>
          <w:tcPr>
            <w:tcW w:w="992" w:type="dxa"/>
            <w:tcBorders>
              <w:top w:val="single" w:sz="2" w:space="0" w:color="auto"/>
              <w:left w:val="single" w:sz="2" w:space="0" w:color="auto"/>
              <w:bottom w:val="single" w:sz="2" w:space="0" w:color="auto"/>
              <w:right w:val="single" w:sz="2" w:space="0" w:color="auto"/>
            </w:tcBorders>
            <w:hideMark/>
          </w:tcPr>
          <w:p w:rsidR="00127237" w:rsidRDefault="00127237">
            <w:pPr>
              <w:snapToGrid w:val="0"/>
              <w:spacing w:line="252" w:lineRule="auto"/>
              <w:jc w:val="center"/>
            </w:pPr>
            <w:r>
              <w:t>2</w:t>
            </w:r>
          </w:p>
        </w:tc>
        <w:tc>
          <w:tcPr>
            <w:tcW w:w="992" w:type="dxa"/>
            <w:tcBorders>
              <w:top w:val="single" w:sz="2" w:space="0" w:color="auto"/>
              <w:left w:val="single" w:sz="2" w:space="0" w:color="auto"/>
              <w:bottom w:val="single" w:sz="2" w:space="0" w:color="auto"/>
              <w:right w:val="single" w:sz="4" w:space="0" w:color="auto"/>
            </w:tcBorders>
            <w:hideMark/>
          </w:tcPr>
          <w:p w:rsidR="00127237" w:rsidRDefault="00127237">
            <w:pPr>
              <w:snapToGrid w:val="0"/>
              <w:spacing w:line="252" w:lineRule="auto"/>
              <w:jc w:val="center"/>
            </w:pPr>
            <w:r>
              <w:t>2</w:t>
            </w:r>
          </w:p>
        </w:tc>
      </w:tr>
      <w:tr w:rsidR="00127237" w:rsidTr="00127237">
        <w:tc>
          <w:tcPr>
            <w:tcW w:w="5670" w:type="dxa"/>
            <w:tcBorders>
              <w:top w:val="single" w:sz="2" w:space="0" w:color="auto"/>
              <w:left w:val="single" w:sz="2" w:space="0" w:color="auto"/>
              <w:bottom w:val="single" w:sz="2" w:space="0" w:color="auto"/>
              <w:right w:val="single" w:sz="2" w:space="0" w:color="auto"/>
            </w:tcBorders>
            <w:hideMark/>
          </w:tcPr>
          <w:p w:rsidR="00127237" w:rsidRDefault="00127237">
            <w:pPr>
              <w:pStyle w:val="Betarp"/>
              <w:snapToGrid w:val="0"/>
              <w:spacing w:line="252" w:lineRule="auto"/>
              <w:jc w:val="both"/>
            </w:pPr>
            <w:r>
              <w:t>5. Pedagogų kvalifikacijos tobulinimas (mokymų sk.).</w:t>
            </w:r>
          </w:p>
        </w:tc>
        <w:tc>
          <w:tcPr>
            <w:tcW w:w="993" w:type="dxa"/>
            <w:tcBorders>
              <w:top w:val="single" w:sz="2" w:space="0" w:color="auto"/>
              <w:left w:val="single" w:sz="2" w:space="0" w:color="auto"/>
              <w:bottom w:val="single" w:sz="2" w:space="0" w:color="auto"/>
              <w:right w:val="single" w:sz="2" w:space="0" w:color="auto"/>
            </w:tcBorders>
            <w:vAlign w:val="center"/>
            <w:hideMark/>
          </w:tcPr>
          <w:p w:rsidR="00127237" w:rsidRDefault="00127237">
            <w:pPr>
              <w:snapToGrid w:val="0"/>
              <w:spacing w:line="252" w:lineRule="auto"/>
              <w:jc w:val="center"/>
            </w:pPr>
            <w:r>
              <w:t>3</w:t>
            </w:r>
          </w:p>
        </w:tc>
        <w:tc>
          <w:tcPr>
            <w:tcW w:w="992" w:type="dxa"/>
            <w:tcBorders>
              <w:top w:val="single" w:sz="2" w:space="0" w:color="auto"/>
              <w:left w:val="single" w:sz="2" w:space="0" w:color="auto"/>
              <w:bottom w:val="single" w:sz="2" w:space="0" w:color="auto"/>
              <w:right w:val="single" w:sz="2" w:space="0" w:color="auto"/>
            </w:tcBorders>
            <w:vAlign w:val="center"/>
            <w:hideMark/>
          </w:tcPr>
          <w:p w:rsidR="00127237" w:rsidRDefault="00127237">
            <w:pPr>
              <w:snapToGrid w:val="0"/>
              <w:spacing w:line="252" w:lineRule="auto"/>
              <w:jc w:val="center"/>
            </w:pPr>
            <w:r>
              <w:t>3</w:t>
            </w:r>
          </w:p>
        </w:tc>
        <w:tc>
          <w:tcPr>
            <w:tcW w:w="992" w:type="dxa"/>
            <w:tcBorders>
              <w:top w:val="single" w:sz="2" w:space="0" w:color="auto"/>
              <w:left w:val="single" w:sz="2" w:space="0" w:color="auto"/>
              <w:bottom w:val="single" w:sz="2" w:space="0" w:color="auto"/>
              <w:right w:val="single" w:sz="2" w:space="0" w:color="auto"/>
            </w:tcBorders>
            <w:vAlign w:val="center"/>
            <w:hideMark/>
          </w:tcPr>
          <w:p w:rsidR="00127237" w:rsidRDefault="00127237">
            <w:pPr>
              <w:snapToGrid w:val="0"/>
              <w:spacing w:line="252" w:lineRule="auto"/>
              <w:jc w:val="center"/>
            </w:pPr>
            <w:r>
              <w:t>3</w:t>
            </w:r>
          </w:p>
        </w:tc>
        <w:tc>
          <w:tcPr>
            <w:tcW w:w="992" w:type="dxa"/>
            <w:tcBorders>
              <w:top w:val="single" w:sz="2" w:space="0" w:color="auto"/>
              <w:left w:val="single" w:sz="2" w:space="0" w:color="auto"/>
              <w:bottom w:val="single" w:sz="2" w:space="0" w:color="auto"/>
              <w:right w:val="single" w:sz="4" w:space="0" w:color="auto"/>
            </w:tcBorders>
            <w:vAlign w:val="center"/>
            <w:hideMark/>
          </w:tcPr>
          <w:p w:rsidR="00127237" w:rsidRDefault="00127237">
            <w:pPr>
              <w:snapToGrid w:val="0"/>
              <w:spacing w:line="252" w:lineRule="auto"/>
              <w:jc w:val="center"/>
            </w:pPr>
            <w:r>
              <w:t>3</w:t>
            </w:r>
          </w:p>
        </w:tc>
      </w:tr>
    </w:tbl>
    <w:p w:rsidR="00127237" w:rsidRDefault="00127237" w:rsidP="00127237">
      <w:pPr>
        <w:rPr>
          <w:b/>
          <w:bCs/>
        </w:rPr>
      </w:pPr>
    </w:p>
    <w:p w:rsidR="00127237" w:rsidRDefault="00127237" w:rsidP="00127237">
      <w:pPr>
        <w:jc w:val="center"/>
        <w:rPr>
          <w:b/>
          <w:bCs/>
        </w:rPr>
      </w:pPr>
      <w:r>
        <w:rPr>
          <w:b/>
          <w:bCs/>
        </w:rPr>
        <w:t>III SKYRIUS</w:t>
      </w:r>
    </w:p>
    <w:p w:rsidR="00127237" w:rsidRDefault="00127237" w:rsidP="00127237">
      <w:pPr>
        <w:pStyle w:val="Sraopastraipa"/>
        <w:numPr>
          <w:ilvl w:val="0"/>
          <w:numId w:val="1"/>
        </w:numPr>
        <w:ind w:left="0"/>
        <w:jc w:val="center"/>
        <w:rPr>
          <w:b/>
          <w:bCs/>
        </w:rPr>
      </w:pPr>
      <w:r>
        <w:rPr>
          <w:b/>
          <w:bCs/>
        </w:rPr>
        <w:t>TIKSLUI ĮGYVENDINTI SKIRTI UŽDAVINIAI IR PRIEMONĖS</w:t>
      </w:r>
    </w:p>
    <w:p w:rsidR="00127237" w:rsidRDefault="00127237" w:rsidP="00127237">
      <w:pPr>
        <w:jc w:val="both"/>
        <w:rPr>
          <w:b/>
          <w:bCs/>
        </w:rPr>
      </w:pPr>
    </w:p>
    <w:p w:rsidR="00127237" w:rsidRDefault="00127237" w:rsidP="00127237">
      <w:pPr>
        <w:pStyle w:val="Sraopastraipa"/>
        <w:ind w:left="0" w:firstLine="851"/>
        <w:jc w:val="both"/>
        <w:rPr>
          <w:b/>
          <w:bCs/>
        </w:rPr>
      </w:pPr>
      <w:r>
        <w:rPr>
          <w:b/>
        </w:rPr>
        <w:t xml:space="preserve">01.01. Uždavinys. Vykdyti ikimokyklinį ir priešmokyklinį ugdymą, užtikrinant sistemingą ir veiksmingą pagalbą kiekvienam vaikui. </w:t>
      </w:r>
    </w:p>
    <w:p w:rsidR="00127237" w:rsidRDefault="00127237" w:rsidP="00127237">
      <w:pPr>
        <w:jc w:val="both"/>
        <w:rPr>
          <w:b/>
          <w:color w:val="44546A"/>
        </w:rPr>
      </w:pPr>
    </w:p>
    <w:p w:rsidR="00127237" w:rsidRDefault="00127237" w:rsidP="00127237">
      <w:pPr>
        <w:ind w:firstLine="851"/>
        <w:jc w:val="both"/>
      </w:pPr>
      <w:r>
        <w:t>Dirbant pagal patvirtintas ugdymo programas, siektina taikyti pažangius ugdymo metodus ir šiuolaikines technologijas. Valstybinėje švietimo 2013–2022 metų strategijoje iškelti tikslai Lietuvos švietimui sietini su nauja koncepcija dėl mokytojų mokymo. Siekiant kelti visų darbuotojų kvalifikaciją, sistemingai organizuojami kvalifikacijos kėlimo renginiai.</w:t>
      </w:r>
    </w:p>
    <w:p w:rsidR="00127237" w:rsidRDefault="00127237" w:rsidP="00127237">
      <w:pPr>
        <w:ind w:firstLine="851"/>
        <w:jc w:val="both"/>
      </w:pPr>
      <w:r>
        <w:rPr>
          <w:rFonts w:cs="Tahoma"/>
          <w:color w:val="000000"/>
        </w:rPr>
        <w:t>Įgyvendinti šį uždavinį siekiama vykdant ugdymo</w:t>
      </w:r>
      <w:r>
        <w:rPr>
          <w:rFonts w:cs="Tahoma"/>
        </w:rPr>
        <w:t xml:space="preserve"> proceso organizavimą pagal ikimokyklinio ugdymo programą „Vaikystės sodas“, Priešmokyklinio ugdymo bendrąją programą.</w:t>
      </w:r>
    </w:p>
    <w:p w:rsidR="00127237" w:rsidRDefault="00127237" w:rsidP="00127237">
      <w:pPr>
        <w:ind w:firstLine="851"/>
        <w:jc w:val="both"/>
      </w:pPr>
      <w:r>
        <w:rPr>
          <w:rFonts w:cs="Tahoma"/>
        </w:rPr>
        <w:t xml:space="preserve">Lopšelyje-darželyje veikia Vaiko gerovės komisija, kuri siekia vaiko problemų išsiaiškinimo, savalaikės švietimo pagalbos suteikimo ir užtikrina prevencinių priemonių įgyvendinimą. Lopšelyje-darželyje teikiama logopedo </w:t>
      </w:r>
      <w:r>
        <w:t>ir socialinio pedagogo</w:t>
      </w:r>
      <w:r>
        <w:rPr>
          <w:rFonts w:cs="Tahoma"/>
        </w:rPr>
        <w:t xml:space="preserve"> pagalba</w:t>
      </w:r>
      <w:r>
        <w:t xml:space="preserve">. Planuojamas </w:t>
      </w:r>
      <w:r>
        <w:lastRenderedPageBreak/>
        <w:t>sistemingas ir veiksmingas švietimo pagalbos teikimo organizavimas: numatyta didinti socialinio pedagogo etatą ir pagal poreikį – specialiojo pedagogo 0,25 etato papildymas.</w:t>
      </w:r>
    </w:p>
    <w:p w:rsidR="00127237" w:rsidRDefault="00127237" w:rsidP="00127237">
      <w:pPr>
        <w:ind w:firstLine="851"/>
        <w:jc w:val="both"/>
      </w:pPr>
      <w:r>
        <w:t xml:space="preserve">Skiriant lėšas ugdymui ir ugdymosi aplinkai finansuoti, užtikrinamas ikimokyklinio ir priešmokyklinio ugdymo vykdymas, siekiant kiekvieno vaiko asmeninės </w:t>
      </w:r>
      <w:proofErr w:type="spellStart"/>
      <w:r>
        <w:t>ūgties</w:t>
      </w:r>
      <w:proofErr w:type="spellEnd"/>
      <w:r>
        <w:t>.</w:t>
      </w:r>
    </w:p>
    <w:p w:rsidR="00127237" w:rsidRDefault="00127237" w:rsidP="00127237">
      <w:pPr>
        <w:shd w:val="clear" w:color="auto" w:fill="FFFFFF"/>
        <w:ind w:firstLine="851"/>
        <w:jc w:val="both"/>
        <w:rPr>
          <w:b/>
        </w:rPr>
      </w:pPr>
      <w:r>
        <w:rPr>
          <w:b/>
        </w:rPr>
        <w:t>Priemonės:</w:t>
      </w:r>
    </w:p>
    <w:p w:rsidR="00127237" w:rsidRDefault="00127237" w:rsidP="00127237">
      <w:pPr>
        <w:ind w:firstLine="851"/>
        <w:jc w:val="both"/>
      </w:pPr>
      <w:r>
        <w:rPr>
          <w:caps/>
        </w:rPr>
        <w:t>01.01</w:t>
      </w:r>
      <w:r>
        <w:t>.01. Ikimokyklinio ugdymo programos „Vaikystės sodas“ įgyvendinimas.</w:t>
      </w:r>
    </w:p>
    <w:p w:rsidR="00127237" w:rsidRDefault="00127237" w:rsidP="00127237">
      <w:pPr>
        <w:ind w:firstLine="851"/>
        <w:jc w:val="both"/>
      </w:pPr>
      <w:r>
        <w:t>Skiriamas finansavimas vaikų ugdymo ir ugdymo(</w:t>
      </w:r>
      <w:proofErr w:type="spellStart"/>
      <w:r>
        <w:t>si</w:t>
      </w:r>
      <w:proofErr w:type="spellEnd"/>
      <w:r>
        <w:t>) aplinkos išlaikymui 2 ankstyvojo amžiaus ir 3 ikimokyklinio amžiaus grupėms.</w:t>
      </w:r>
    </w:p>
    <w:p w:rsidR="00127237" w:rsidRDefault="00127237" w:rsidP="00127237">
      <w:pPr>
        <w:tabs>
          <w:tab w:val="left" w:pos="426"/>
        </w:tabs>
        <w:ind w:firstLine="851"/>
        <w:jc w:val="both"/>
      </w:pPr>
      <w:r>
        <w:t>01.01.02. Priešmokyklinio ugdymo bendrosios programos įgyvendinimas.</w:t>
      </w:r>
    </w:p>
    <w:p w:rsidR="00127237" w:rsidRDefault="00127237" w:rsidP="00127237">
      <w:pPr>
        <w:ind w:firstLine="851"/>
        <w:jc w:val="both"/>
      </w:pPr>
      <w:r>
        <w:t>Skiriamas finansavimas vaikų ugdymo ir ugdymo(</w:t>
      </w:r>
      <w:proofErr w:type="spellStart"/>
      <w:r>
        <w:t>si</w:t>
      </w:r>
      <w:proofErr w:type="spellEnd"/>
      <w:r>
        <w:t>) aplinkos išlaikymui 1 priešmokyklinio amžiaus grupei (nuo 2021 m. rugsėjo mėn.).</w:t>
      </w:r>
    </w:p>
    <w:p w:rsidR="00127237" w:rsidRDefault="00127237" w:rsidP="00127237">
      <w:pPr>
        <w:ind w:firstLine="851"/>
        <w:jc w:val="both"/>
      </w:pPr>
      <w:r>
        <w:t>01.01.03. Pedagogų kvalifikacijos tobulinimas.</w:t>
      </w:r>
    </w:p>
    <w:p w:rsidR="00127237" w:rsidRDefault="00127237" w:rsidP="00127237">
      <w:pPr>
        <w:ind w:firstLine="851"/>
        <w:jc w:val="both"/>
      </w:pPr>
      <w:r>
        <w:t>Atsižvelgiant į asmeninius pedagogų kvalifikacijos tobulinimo poreikius, vykstant į mokymus, mokantis nuotoliniu būdu bei mokantis darbo vietoje.</w:t>
      </w:r>
    </w:p>
    <w:p w:rsidR="00127237" w:rsidRDefault="00127237" w:rsidP="00127237">
      <w:pPr>
        <w:ind w:firstLine="851"/>
        <w:jc w:val="both"/>
        <w:rPr>
          <w:b/>
        </w:rPr>
      </w:pPr>
      <w:r>
        <w:rPr>
          <w:b/>
        </w:rPr>
        <w:t>01.02. Uždavinys. Tikslingai gerinti ugdytinių pasiekimus.</w:t>
      </w:r>
    </w:p>
    <w:p w:rsidR="00127237" w:rsidRDefault="00127237" w:rsidP="00127237">
      <w:pPr>
        <w:ind w:firstLine="851"/>
        <w:jc w:val="both"/>
        <w:rPr>
          <w:b/>
        </w:rPr>
      </w:pPr>
      <w:r>
        <w:t>Sėkmingam ugdymo proceso organizavimui užtikrinti reikalingas finansavimas, itin svarbios asmeninės pedagogo savybės, motyvacija, noras tobulėti bei gebėjimas žinomus ugdymo(</w:t>
      </w:r>
      <w:proofErr w:type="spellStart"/>
      <w:r>
        <w:t>si</w:t>
      </w:r>
      <w:proofErr w:type="spellEnd"/>
      <w:r>
        <w:t xml:space="preserve">) metodus pritaikyti </w:t>
      </w:r>
      <w:proofErr w:type="spellStart"/>
      <w:r>
        <w:t>inovatyviai</w:t>
      </w:r>
      <w:proofErr w:type="spellEnd"/>
      <w:r>
        <w:t xml:space="preserve">, siekiant išsiaiškinti vaiko poreikius ir gerinti jo individualius pasiekimus. </w:t>
      </w:r>
    </w:p>
    <w:p w:rsidR="00127237" w:rsidRDefault="00127237" w:rsidP="00127237">
      <w:pPr>
        <w:ind w:firstLine="851"/>
        <w:jc w:val="both"/>
      </w:pPr>
      <w:r>
        <w:t xml:space="preserve">Skatinama neformaliojo švietimo paslaugų plėtra: lygiagrečiai įgyvendinant lopšelio-darželio pedagogų parengtas bei direktoriaus patvirtintas programas, STEAM ugdymą, integruojami ir kiti pedagogų parengti projektai, programos (motyvuojanti ankstyvojo užsienio kalbos mokymo programa „Vokiečių kalba su </w:t>
      </w:r>
      <w:proofErr w:type="spellStart"/>
      <w:r>
        <w:t>Hans</w:t>
      </w:r>
      <w:proofErr w:type="spellEnd"/>
      <w:r>
        <w:t xml:space="preserve"> </w:t>
      </w:r>
      <w:proofErr w:type="spellStart"/>
      <w:r>
        <w:t>Hase</w:t>
      </w:r>
      <w:proofErr w:type="spellEnd"/>
      <w:r>
        <w:t xml:space="preserve"> priešmokyklinėse grupėse“, </w:t>
      </w:r>
      <w:proofErr w:type="spellStart"/>
      <w:r>
        <w:t>patyriminio</w:t>
      </w:r>
      <w:proofErr w:type="spellEnd"/>
      <w:r>
        <w:t xml:space="preserve"> ugdymo projektai ir sveikatos stiprinimo programa „Sveikatos obuoliukai“), suteikiantys nemokamą neformaliojo ugdymo paslaugą šeimoms. Tikslingos partnerystės plėtojimui į ikimokyklinio ir priešmokyklinio ugdymo turinį integruoti komunikavimo ir pažinimo kompetenciją tobulinantys projektai ir veiksmingai teikiama švietimo pagalba. </w:t>
      </w:r>
    </w:p>
    <w:p w:rsidR="00127237" w:rsidRDefault="00127237" w:rsidP="00127237">
      <w:pPr>
        <w:ind w:firstLine="851"/>
        <w:jc w:val="both"/>
        <w:rPr>
          <w:b/>
        </w:rPr>
      </w:pPr>
      <w:r>
        <w:rPr>
          <w:b/>
        </w:rPr>
        <w:t>Priemonės:</w:t>
      </w:r>
    </w:p>
    <w:p w:rsidR="00127237" w:rsidRDefault="00127237" w:rsidP="00127237">
      <w:pPr>
        <w:ind w:firstLine="851"/>
        <w:jc w:val="both"/>
      </w:pPr>
      <w:r>
        <w:t>01.02.01. Stimuliuojančių kalbos ir pažinimo procesų raidą projektų vykdymas.</w:t>
      </w:r>
    </w:p>
    <w:p w:rsidR="00127237" w:rsidRDefault="00127237" w:rsidP="00127237">
      <w:pPr>
        <w:ind w:firstLine="851"/>
        <w:jc w:val="both"/>
      </w:pPr>
      <w:r>
        <w:t xml:space="preserve">Numatyta tęsti komunikavimo ir pažinimo kompetenciją tobulinančius projektus, kurie efektyviau stimuliuos vaikų kalbos ir </w:t>
      </w:r>
      <w:r>
        <w:rPr>
          <w:color w:val="000000"/>
        </w:rPr>
        <w:t>pažinimo procesų raidą („Žaidimai moko“ projektas ir vaikų kalbos sutrikimų prevencijos programos).</w:t>
      </w:r>
    </w:p>
    <w:p w:rsidR="00127237" w:rsidRDefault="00127237" w:rsidP="00127237">
      <w:pPr>
        <w:ind w:firstLine="851"/>
        <w:jc w:val="both"/>
      </w:pPr>
      <w:r>
        <w:t>01.02.02. Socialinio ir emocinio intelekto lavinimo programų įgyvendinimas.</w:t>
      </w:r>
    </w:p>
    <w:p w:rsidR="00127237" w:rsidRDefault="00127237" w:rsidP="00127237">
      <w:pPr>
        <w:ind w:firstLine="851"/>
        <w:jc w:val="both"/>
      </w:pPr>
      <w:r>
        <w:rPr>
          <w:rFonts w:cs="Tahoma"/>
        </w:rPr>
        <w:t>Emocinių ir socialinių kompetencijų ugdymas plėtojamas bendradarbiaujant specialistams ir tėvams, įgyvendinant socialinių įgūdžių programą „</w:t>
      </w:r>
      <w:proofErr w:type="spellStart"/>
      <w:r>
        <w:rPr>
          <w:rFonts w:cs="Tahoma"/>
        </w:rPr>
        <w:t>Zipio</w:t>
      </w:r>
      <w:proofErr w:type="spellEnd"/>
      <w:r>
        <w:rPr>
          <w:rFonts w:cs="Tahoma"/>
        </w:rPr>
        <w:t xml:space="preserve"> draugai</w:t>
      </w:r>
      <w:r>
        <w:t>“, socialinio emocinio intelekto programą „</w:t>
      </w:r>
      <w:proofErr w:type="spellStart"/>
      <w:r>
        <w:t>Kimochi</w:t>
      </w:r>
      <w:proofErr w:type="spellEnd"/>
      <w:r>
        <w:t>“.</w:t>
      </w:r>
    </w:p>
    <w:p w:rsidR="00127237" w:rsidRDefault="00127237" w:rsidP="00127237">
      <w:pPr>
        <w:pStyle w:val="Betarp"/>
        <w:ind w:firstLine="851"/>
        <w:jc w:val="both"/>
        <w:rPr>
          <w:u w:val="single"/>
        </w:rPr>
      </w:pPr>
      <w:r>
        <w:t>01.02.03. Į STEAM veiklas orientuoto projekto vykdymas.</w:t>
      </w:r>
      <w:r>
        <w:rPr>
          <w:u w:val="single"/>
        </w:rPr>
        <w:t xml:space="preserve"> </w:t>
      </w:r>
    </w:p>
    <w:p w:rsidR="00127237" w:rsidRDefault="00127237" w:rsidP="00127237">
      <w:pPr>
        <w:pStyle w:val="Betarp"/>
        <w:ind w:firstLine="851"/>
        <w:jc w:val="both"/>
        <w:rPr>
          <w:u w:val="single"/>
        </w:rPr>
      </w:pPr>
      <w:r>
        <w:t>Numatyta parengti ir įgyvendinti vieną projektą, skatinantį vaikus pažinti, tyrinėti, kurti, bendradarbiauti.</w:t>
      </w:r>
    </w:p>
    <w:p w:rsidR="00127237" w:rsidRDefault="00127237" w:rsidP="00127237">
      <w:pPr>
        <w:pStyle w:val="Betarp"/>
        <w:ind w:firstLine="851"/>
        <w:jc w:val="both"/>
        <w:rPr>
          <w:u w:val="single"/>
        </w:rPr>
      </w:pPr>
      <w:r>
        <w:t>01.02.04. Sveikatą stiprinančios programos „Sveikatos obuoliukai“ įgyvendinimas.</w:t>
      </w:r>
    </w:p>
    <w:p w:rsidR="00127237" w:rsidRDefault="00127237" w:rsidP="00127237">
      <w:pPr>
        <w:pStyle w:val="Betarp"/>
        <w:ind w:firstLine="851"/>
        <w:jc w:val="both"/>
      </w:pPr>
      <w:r>
        <w:t xml:space="preserve">Vykdomos programos „Sveikatos obuoliukai“ </w:t>
      </w:r>
      <w:proofErr w:type="spellStart"/>
      <w:r>
        <w:t>sveikatinimo</w:t>
      </w:r>
      <w:proofErr w:type="spellEnd"/>
      <w:r>
        <w:t xml:space="preserve"> veiklos. </w:t>
      </w:r>
    </w:p>
    <w:p w:rsidR="00127237" w:rsidRDefault="00127237" w:rsidP="00127237">
      <w:pPr>
        <w:pStyle w:val="Betarp"/>
        <w:jc w:val="both"/>
        <w:rPr>
          <w:u w:val="single"/>
        </w:rPr>
      </w:pPr>
    </w:p>
    <w:p w:rsidR="00127237" w:rsidRDefault="00127237" w:rsidP="00127237">
      <w:pPr>
        <w:jc w:val="center"/>
        <w:rPr>
          <w:b/>
          <w:color w:val="000000"/>
          <w:szCs w:val="24"/>
        </w:rPr>
      </w:pPr>
      <w:r>
        <w:rPr>
          <w:b/>
          <w:color w:val="000000"/>
          <w:szCs w:val="24"/>
        </w:rPr>
        <w:t>IV SKYRIUS</w:t>
      </w:r>
    </w:p>
    <w:p w:rsidR="00127237" w:rsidRDefault="00127237" w:rsidP="00127237">
      <w:pPr>
        <w:jc w:val="center"/>
        <w:rPr>
          <w:b/>
          <w:szCs w:val="24"/>
        </w:rPr>
      </w:pPr>
      <w:r>
        <w:rPr>
          <w:b/>
          <w:szCs w:val="24"/>
        </w:rPr>
        <w:t xml:space="preserve">02 TIKSLAS. MATERIALINĖS IR TECHNINĖS APLINKOS GERINIMAS </w:t>
      </w:r>
    </w:p>
    <w:p w:rsidR="00127237" w:rsidRDefault="00127237" w:rsidP="00127237">
      <w:pPr>
        <w:jc w:val="both"/>
        <w:rPr>
          <w:b/>
          <w:szCs w:val="24"/>
        </w:rPr>
      </w:pPr>
    </w:p>
    <w:p w:rsidR="00127237" w:rsidRDefault="00127237" w:rsidP="00127237">
      <w:pPr>
        <w:pStyle w:val="Pagrindinistekstas"/>
        <w:snapToGrid w:val="0"/>
        <w:ind w:firstLine="851"/>
        <w:rPr>
          <w:rFonts w:ascii="Times New Roman" w:hAnsi="Times New Roman"/>
          <w:szCs w:val="24"/>
        </w:rPr>
      </w:pPr>
      <w:r>
        <w:rPr>
          <w:rFonts w:ascii="Times New Roman" w:hAnsi="Times New Roman"/>
          <w:color w:val="000000"/>
          <w:szCs w:val="24"/>
        </w:rPr>
        <w:t>Siekiant</w:t>
      </w:r>
      <w:r>
        <w:rPr>
          <w:rFonts w:ascii="Times New Roman" w:hAnsi="Times New Roman"/>
          <w:szCs w:val="24"/>
        </w:rPr>
        <w:t xml:space="preserve"> sukurti modernią ir savitą ugdymo ir ugdymosi aplinką, atitinkančią kintančias materialines, socialines ir technologines sąlygas visuomenėje bei pozityvaus </w:t>
      </w:r>
      <w:r>
        <w:rPr>
          <w:rFonts w:ascii="Times New Roman" w:hAnsi="Times New Roman"/>
          <w:color w:val="000000"/>
          <w:szCs w:val="24"/>
        </w:rPr>
        <w:t xml:space="preserve">lopšelio-darželio </w:t>
      </w:r>
      <w:r>
        <w:rPr>
          <w:rFonts w:ascii="Times New Roman" w:hAnsi="Times New Roman"/>
          <w:szCs w:val="24"/>
        </w:rPr>
        <w:t xml:space="preserve">įvaizdžio </w:t>
      </w:r>
      <w:r>
        <w:rPr>
          <w:rFonts w:ascii="Times New Roman" w:hAnsi="Times New Roman"/>
          <w:color w:val="000000"/>
          <w:szCs w:val="24"/>
        </w:rPr>
        <w:t xml:space="preserve">formavimo, </w:t>
      </w:r>
      <w:r>
        <w:rPr>
          <w:rFonts w:ascii="Times New Roman" w:hAnsi="Times New Roman"/>
          <w:szCs w:val="24"/>
        </w:rPr>
        <w:t>tobulinama ugdymosi aplinka ir infrastruktūra.</w:t>
      </w:r>
    </w:p>
    <w:p w:rsidR="00127237" w:rsidRDefault="00127237" w:rsidP="00127237">
      <w:pPr>
        <w:pStyle w:val="Pagrindinistekstas"/>
        <w:snapToGrid w:val="0"/>
        <w:ind w:firstLine="851"/>
        <w:rPr>
          <w:rFonts w:ascii="Times New Roman" w:hAnsi="Times New Roman"/>
          <w:szCs w:val="24"/>
        </w:rPr>
      </w:pPr>
    </w:p>
    <w:p w:rsidR="00127237" w:rsidRDefault="00127237" w:rsidP="00127237">
      <w:pPr>
        <w:pStyle w:val="Pagrindinistekstas"/>
        <w:snapToGrid w:val="0"/>
        <w:ind w:firstLine="851"/>
        <w:rPr>
          <w:rFonts w:ascii="Times New Roman" w:hAnsi="Times New Roman"/>
          <w:szCs w:val="24"/>
        </w:rPr>
      </w:pPr>
    </w:p>
    <w:p w:rsidR="00127237" w:rsidRDefault="00127237" w:rsidP="00127237">
      <w:pPr>
        <w:pStyle w:val="Pagrindinistekstas"/>
        <w:snapToGrid w:val="0"/>
        <w:ind w:firstLine="851"/>
        <w:rPr>
          <w:rFonts w:ascii="Times New Roman" w:hAnsi="Times New Roman"/>
          <w:szCs w:val="24"/>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134"/>
        <w:gridCol w:w="1134"/>
        <w:gridCol w:w="1134"/>
        <w:gridCol w:w="1134"/>
      </w:tblGrid>
      <w:tr w:rsidR="00127237" w:rsidTr="00127237">
        <w:tc>
          <w:tcPr>
            <w:tcW w:w="5103" w:type="dxa"/>
            <w:tcBorders>
              <w:top w:val="single" w:sz="4" w:space="0" w:color="auto"/>
              <w:left w:val="single" w:sz="4" w:space="0" w:color="auto"/>
              <w:bottom w:val="single" w:sz="4" w:space="0" w:color="auto"/>
              <w:right w:val="single" w:sz="4" w:space="0" w:color="auto"/>
            </w:tcBorders>
            <w:hideMark/>
          </w:tcPr>
          <w:p w:rsidR="00127237" w:rsidRDefault="00127237">
            <w:pPr>
              <w:jc w:val="both"/>
              <w:rPr>
                <w:rFonts w:eastAsia="Calibri"/>
                <w:szCs w:val="24"/>
              </w:rPr>
            </w:pPr>
            <w:r>
              <w:rPr>
                <w:rFonts w:eastAsia="Calibri"/>
                <w:b/>
                <w:szCs w:val="24"/>
              </w:rPr>
              <w:lastRenderedPageBreak/>
              <w:t>Rezultato vertinimo kriterijaus pavadinimas ir mato vienetas</w:t>
            </w:r>
          </w:p>
        </w:tc>
        <w:tc>
          <w:tcPr>
            <w:tcW w:w="1134" w:type="dxa"/>
            <w:tcBorders>
              <w:top w:val="single" w:sz="4" w:space="0" w:color="auto"/>
              <w:left w:val="single" w:sz="4" w:space="0" w:color="auto"/>
              <w:bottom w:val="single" w:sz="4" w:space="0" w:color="auto"/>
              <w:right w:val="single" w:sz="4" w:space="0" w:color="auto"/>
            </w:tcBorders>
            <w:hideMark/>
          </w:tcPr>
          <w:p w:rsidR="00127237" w:rsidRDefault="00127237">
            <w:pPr>
              <w:jc w:val="both"/>
              <w:rPr>
                <w:rFonts w:eastAsia="Calibri"/>
                <w:szCs w:val="24"/>
              </w:rPr>
            </w:pPr>
            <w:r>
              <w:rPr>
                <w:rFonts w:eastAsia="Calibri"/>
                <w:b/>
                <w:iCs/>
                <w:szCs w:val="24"/>
              </w:rPr>
              <w:t>2021</w:t>
            </w:r>
            <w:r>
              <w:rPr>
                <w:rFonts w:eastAsia="Calibri"/>
                <w:b/>
                <w:szCs w:val="24"/>
              </w:rPr>
              <w:t>-ųjų metų</w:t>
            </w:r>
          </w:p>
        </w:tc>
        <w:tc>
          <w:tcPr>
            <w:tcW w:w="1134" w:type="dxa"/>
            <w:tcBorders>
              <w:top w:val="single" w:sz="4" w:space="0" w:color="auto"/>
              <w:left w:val="single" w:sz="4" w:space="0" w:color="auto"/>
              <w:bottom w:val="single" w:sz="4" w:space="0" w:color="auto"/>
              <w:right w:val="single" w:sz="4" w:space="0" w:color="auto"/>
            </w:tcBorders>
            <w:hideMark/>
          </w:tcPr>
          <w:p w:rsidR="00127237" w:rsidRDefault="00127237">
            <w:pPr>
              <w:jc w:val="both"/>
              <w:rPr>
                <w:rFonts w:eastAsia="Calibri"/>
                <w:szCs w:val="24"/>
              </w:rPr>
            </w:pPr>
            <w:r>
              <w:rPr>
                <w:rFonts w:eastAsia="Calibri"/>
                <w:b/>
                <w:iCs/>
                <w:szCs w:val="24"/>
              </w:rPr>
              <w:t>2022</w:t>
            </w:r>
            <w:r>
              <w:rPr>
                <w:rFonts w:eastAsia="Calibri"/>
                <w:b/>
                <w:szCs w:val="24"/>
              </w:rPr>
              <w:t>-ųjų metų</w:t>
            </w:r>
          </w:p>
        </w:tc>
        <w:tc>
          <w:tcPr>
            <w:tcW w:w="1134" w:type="dxa"/>
            <w:tcBorders>
              <w:top w:val="single" w:sz="4" w:space="0" w:color="auto"/>
              <w:left w:val="single" w:sz="4" w:space="0" w:color="auto"/>
              <w:bottom w:val="single" w:sz="4" w:space="0" w:color="auto"/>
              <w:right w:val="single" w:sz="4" w:space="0" w:color="auto"/>
            </w:tcBorders>
            <w:hideMark/>
          </w:tcPr>
          <w:p w:rsidR="00127237" w:rsidRDefault="00127237">
            <w:pPr>
              <w:jc w:val="both"/>
              <w:rPr>
                <w:rFonts w:eastAsia="Calibri"/>
                <w:szCs w:val="24"/>
              </w:rPr>
            </w:pPr>
            <w:r>
              <w:rPr>
                <w:rFonts w:eastAsia="Calibri"/>
                <w:b/>
                <w:iCs/>
                <w:szCs w:val="24"/>
              </w:rPr>
              <w:t>2023</w:t>
            </w:r>
            <w:r>
              <w:rPr>
                <w:rFonts w:eastAsia="Calibri"/>
                <w:b/>
                <w:szCs w:val="24"/>
              </w:rPr>
              <w:t>-ųjų metų</w:t>
            </w:r>
          </w:p>
        </w:tc>
        <w:tc>
          <w:tcPr>
            <w:tcW w:w="1134" w:type="dxa"/>
            <w:tcBorders>
              <w:top w:val="single" w:sz="4" w:space="0" w:color="auto"/>
              <w:left w:val="single" w:sz="4" w:space="0" w:color="auto"/>
              <w:bottom w:val="single" w:sz="4" w:space="0" w:color="auto"/>
              <w:right w:val="single" w:sz="4" w:space="0" w:color="auto"/>
            </w:tcBorders>
            <w:hideMark/>
          </w:tcPr>
          <w:p w:rsidR="00127237" w:rsidRDefault="00127237">
            <w:pPr>
              <w:ind w:right="-391"/>
              <w:rPr>
                <w:rFonts w:eastAsia="Calibri"/>
                <w:b/>
                <w:iCs/>
                <w:szCs w:val="24"/>
              </w:rPr>
            </w:pPr>
            <w:r>
              <w:rPr>
                <w:rFonts w:eastAsia="Calibri"/>
                <w:b/>
                <w:iCs/>
                <w:szCs w:val="24"/>
              </w:rPr>
              <w:t>2024-</w:t>
            </w:r>
            <w:r>
              <w:rPr>
                <w:rFonts w:eastAsia="Calibri"/>
                <w:b/>
                <w:szCs w:val="24"/>
              </w:rPr>
              <w:t>ųjų metų</w:t>
            </w:r>
          </w:p>
        </w:tc>
      </w:tr>
      <w:tr w:rsidR="00127237" w:rsidTr="00127237">
        <w:tc>
          <w:tcPr>
            <w:tcW w:w="5103" w:type="dxa"/>
            <w:tcBorders>
              <w:top w:val="single" w:sz="4" w:space="0" w:color="auto"/>
              <w:left w:val="single" w:sz="4" w:space="0" w:color="auto"/>
              <w:bottom w:val="single" w:sz="4" w:space="0" w:color="auto"/>
              <w:right w:val="single" w:sz="4" w:space="0" w:color="auto"/>
            </w:tcBorders>
            <w:hideMark/>
          </w:tcPr>
          <w:p w:rsidR="00127237" w:rsidRDefault="00127237">
            <w:pPr>
              <w:jc w:val="both"/>
              <w:rPr>
                <w:rFonts w:eastAsia="Calibri"/>
                <w:szCs w:val="24"/>
              </w:rPr>
            </w:pPr>
            <w:r>
              <w:rPr>
                <w:rFonts w:eastAsia="Calibri"/>
                <w:szCs w:val="24"/>
              </w:rPr>
              <w:t>1. Atnaujintos lauko edukacinės erdvės (</w:t>
            </w:r>
            <w:r>
              <w:rPr>
                <w:rFonts w:eastAsia="Calibri"/>
                <w:szCs w:val="24"/>
                <w:lang w:val="en-US"/>
              </w:rPr>
              <w:t>%</w:t>
            </w:r>
            <w:r>
              <w:rPr>
                <w:rFonts w:eastAsia="Calibri"/>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7237" w:rsidRDefault="00127237">
            <w:pPr>
              <w:pStyle w:val="Betarp"/>
              <w:jc w:val="center"/>
              <w:rPr>
                <w:rFonts w:eastAsia="Calibri"/>
                <w:szCs w:val="24"/>
              </w:rPr>
            </w:pPr>
            <w:r>
              <w:rPr>
                <w:rFonts w:eastAsia="Calibri"/>
                <w:szCs w:val="24"/>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7237" w:rsidRDefault="00127237">
            <w:pPr>
              <w:pStyle w:val="Betarp"/>
              <w:jc w:val="center"/>
              <w:rPr>
                <w:rFonts w:eastAsia="Calibri"/>
                <w:szCs w:val="24"/>
              </w:rPr>
            </w:pPr>
            <w:r>
              <w:rPr>
                <w:rFonts w:eastAsia="Calibri"/>
                <w:szCs w:val="24"/>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7237" w:rsidRDefault="00127237">
            <w:pPr>
              <w:pStyle w:val="Betarp"/>
              <w:jc w:val="center"/>
              <w:rPr>
                <w:rFonts w:eastAsia="Calibri"/>
                <w:szCs w:val="24"/>
              </w:rPr>
            </w:pPr>
            <w:r>
              <w:rPr>
                <w:rFonts w:eastAsia="Calibri"/>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127237" w:rsidRDefault="00127237">
            <w:pPr>
              <w:pStyle w:val="Betarp"/>
              <w:ind w:right="-391"/>
              <w:rPr>
                <w:rFonts w:eastAsia="Calibri"/>
                <w:szCs w:val="24"/>
              </w:rPr>
            </w:pPr>
            <w:r>
              <w:rPr>
                <w:rFonts w:eastAsia="Calibri"/>
                <w:szCs w:val="24"/>
              </w:rPr>
              <w:t xml:space="preserve">      20</w:t>
            </w:r>
          </w:p>
        </w:tc>
      </w:tr>
      <w:tr w:rsidR="00127237" w:rsidTr="00127237">
        <w:tc>
          <w:tcPr>
            <w:tcW w:w="5103" w:type="dxa"/>
            <w:tcBorders>
              <w:top w:val="single" w:sz="4" w:space="0" w:color="auto"/>
              <w:left w:val="single" w:sz="4" w:space="0" w:color="auto"/>
              <w:bottom w:val="single" w:sz="4" w:space="0" w:color="auto"/>
              <w:right w:val="single" w:sz="4" w:space="0" w:color="auto"/>
            </w:tcBorders>
            <w:hideMark/>
          </w:tcPr>
          <w:p w:rsidR="00127237" w:rsidRDefault="00127237">
            <w:pPr>
              <w:jc w:val="both"/>
              <w:rPr>
                <w:rFonts w:eastAsia="Calibri"/>
                <w:szCs w:val="24"/>
              </w:rPr>
            </w:pPr>
            <w:r>
              <w:rPr>
                <w:rFonts w:eastAsia="Calibri"/>
                <w:szCs w:val="24"/>
              </w:rPr>
              <w:t xml:space="preserve">2. Įsigyta </w:t>
            </w:r>
            <w:proofErr w:type="spellStart"/>
            <w:r>
              <w:rPr>
                <w:rFonts w:eastAsia="Calibri"/>
                <w:szCs w:val="24"/>
              </w:rPr>
              <w:t>patyriminiam</w:t>
            </w:r>
            <w:proofErr w:type="spellEnd"/>
            <w:r>
              <w:rPr>
                <w:rFonts w:eastAsia="Calibri"/>
                <w:szCs w:val="24"/>
              </w:rPr>
              <w:t xml:space="preserve"> ugdymui (STEAM veikloms organizuoti) priemonių (</w:t>
            </w:r>
            <w:r>
              <w:rPr>
                <w:rFonts w:eastAsia="Calibri"/>
                <w:szCs w:val="24"/>
                <w:lang w:val="en-US"/>
              </w:rPr>
              <w:t>%</w:t>
            </w:r>
            <w:r>
              <w:rPr>
                <w:rFonts w:eastAsia="Calibri"/>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7237" w:rsidRDefault="00127237">
            <w:pPr>
              <w:pStyle w:val="Betarp"/>
              <w:jc w:val="center"/>
              <w:rPr>
                <w:rFonts w:eastAsia="Calibri"/>
                <w:color w:val="000000"/>
                <w:szCs w:val="24"/>
              </w:rPr>
            </w:pPr>
            <w:r>
              <w:rPr>
                <w:rFonts w:eastAsia="Calibri"/>
                <w:color w:val="000000"/>
                <w:szCs w:val="24"/>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7237" w:rsidRDefault="00127237">
            <w:pPr>
              <w:pStyle w:val="Betarp"/>
              <w:jc w:val="center"/>
              <w:rPr>
                <w:rFonts w:eastAsia="Calibri"/>
                <w:color w:val="000000"/>
                <w:szCs w:val="24"/>
              </w:rPr>
            </w:pPr>
            <w:r>
              <w:rPr>
                <w:rFonts w:eastAsia="Calibri"/>
                <w:color w:val="000000"/>
                <w:szCs w:val="24"/>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7237" w:rsidRDefault="00127237">
            <w:pPr>
              <w:pStyle w:val="Betarp"/>
              <w:jc w:val="center"/>
              <w:rPr>
                <w:rFonts w:eastAsia="Calibri"/>
                <w:color w:val="000000"/>
                <w:szCs w:val="24"/>
              </w:rPr>
            </w:pPr>
            <w:r>
              <w:rPr>
                <w:rFonts w:eastAsia="Calibri"/>
                <w:color w:val="000000"/>
                <w:szCs w:val="24"/>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7237" w:rsidRDefault="00127237">
            <w:pPr>
              <w:pStyle w:val="Betarp"/>
              <w:jc w:val="center"/>
              <w:rPr>
                <w:rFonts w:eastAsia="Calibri"/>
                <w:color w:val="000000"/>
                <w:szCs w:val="24"/>
              </w:rPr>
            </w:pPr>
            <w:r>
              <w:rPr>
                <w:rFonts w:eastAsia="Calibri"/>
                <w:color w:val="000000"/>
                <w:szCs w:val="24"/>
              </w:rPr>
              <w:t>25</w:t>
            </w:r>
          </w:p>
        </w:tc>
      </w:tr>
      <w:tr w:rsidR="00127237" w:rsidTr="00127237">
        <w:tc>
          <w:tcPr>
            <w:tcW w:w="5103" w:type="dxa"/>
            <w:tcBorders>
              <w:top w:val="single" w:sz="4" w:space="0" w:color="auto"/>
              <w:left w:val="single" w:sz="4" w:space="0" w:color="auto"/>
              <w:bottom w:val="single" w:sz="4" w:space="0" w:color="auto"/>
              <w:right w:val="single" w:sz="4" w:space="0" w:color="auto"/>
            </w:tcBorders>
            <w:hideMark/>
          </w:tcPr>
          <w:p w:rsidR="00127237" w:rsidRDefault="00127237">
            <w:pPr>
              <w:jc w:val="both"/>
              <w:rPr>
                <w:rFonts w:eastAsia="Calibri"/>
                <w:szCs w:val="24"/>
              </w:rPr>
            </w:pPr>
            <w:r>
              <w:rPr>
                <w:rFonts w:eastAsia="Calibri"/>
                <w:iCs/>
                <w:szCs w:val="24"/>
              </w:rPr>
              <w:t>3.</w:t>
            </w:r>
            <w:r>
              <w:rPr>
                <w:rFonts w:eastAsia="Calibri"/>
                <w:szCs w:val="24"/>
              </w:rPr>
              <w:t> </w:t>
            </w:r>
            <w:r>
              <w:rPr>
                <w:rFonts w:eastAsia="Calibri"/>
                <w:iCs/>
                <w:szCs w:val="24"/>
              </w:rPr>
              <w:t>Įgyvendinti investiciniai projektai (vnt.)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7237" w:rsidRDefault="00127237">
            <w:pPr>
              <w:pStyle w:val="Betarp"/>
              <w:jc w:val="center"/>
              <w:rPr>
                <w:rFonts w:eastAsia="Calibri"/>
                <w:color w:val="000000"/>
                <w:szCs w:val="24"/>
              </w:rPr>
            </w:pPr>
            <w:r>
              <w:rPr>
                <w:rFonts w:eastAsia="Calibri"/>
                <w:color w:val="000000"/>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7237" w:rsidRDefault="00127237">
            <w:pPr>
              <w:pStyle w:val="Betarp"/>
              <w:jc w:val="center"/>
              <w:rPr>
                <w:rFonts w:eastAsia="Calibri"/>
                <w:color w:val="000000"/>
                <w:szCs w:val="24"/>
              </w:rPr>
            </w:pPr>
            <w:r>
              <w:rPr>
                <w:rFonts w:eastAsia="Calibri"/>
                <w:color w:val="000000"/>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7237" w:rsidRDefault="00127237">
            <w:pPr>
              <w:pStyle w:val="Betarp"/>
              <w:jc w:val="center"/>
              <w:rPr>
                <w:rFonts w:eastAsia="Calibri"/>
                <w:color w:val="000000"/>
                <w:szCs w:val="24"/>
              </w:rPr>
            </w:pPr>
            <w:r>
              <w:rPr>
                <w:rFonts w:eastAsia="Calibri"/>
                <w:color w:val="000000"/>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7237" w:rsidRDefault="00127237">
            <w:pPr>
              <w:pStyle w:val="Betarp"/>
              <w:jc w:val="center"/>
              <w:rPr>
                <w:rFonts w:eastAsia="Calibri"/>
                <w:color w:val="000000"/>
                <w:szCs w:val="24"/>
              </w:rPr>
            </w:pPr>
            <w:r>
              <w:rPr>
                <w:rFonts w:eastAsia="Calibri"/>
                <w:color w:val="000000"/>
                <w:szCs w:val="24"/>
              </w:rPr>
              <w:t>1</w:t>
            </w:r>
          </w:p>
        </w:tc>
      </w:tr>
      <w:tr w:rsidR="00127237" w:rsidTr="00127237">
        <w:tc>
          <w:tcPr>
            <w:tcW w:w="5103" w:type="dxa"/>
            <w:tcBorders>
              <w:top w:val="single" w:sz="4" w:space="0" w:color="auto"/>
              <w:left w:val="single" w:sz="4" w:space="0" w:color="auto"/>
              <w:bottom w:val="single" w:sz="4" w:space="0" w:color="auto"/>
              <w:right w:val="single" w:sz="4" w:space="0" w:color="auto"/>
            </w:tcBorders>
            <w:hideMark/>
          </w:tcPr>
          <w:p w:rsidR="00127237" w:rsidRDefault="00127237">
            <w:pPr>
              <w:jc w:val="both"/>
              <w:rPr>
                <w:rFonts w:eastAsia="Calibri"/>
                <w:szCs w:val="24"/>
                <w:highlight w:val="yellow"/>
              </w:rPr>
            </w:pPr>
            <w:r>
              <w:rPr>
                <w:rFonts w:eastAsia="Calibri"/>
                <w:szCs w:val="24"/>
              </w:rPr>
              <w:t>4.</w:t>
            </w:r>
            <w:r>
              <w:rPr>
                <w:rFonts w:eastAsia="Calibri"/>
                <w:iCs/>
                <w:color w:val="000000"/>
                <w:szCs w:val="24"/>
              </w:rPr>
              <w:t> </w:t>
            </w:r>
            <w:r>
              <w:rPr>
                <w:rFonts w:eastAsia="Calibri"/>
                <w:szCs w:val="24"/>
              </w:rPr>
              <w:t>Darbuotojų kvalifikacijos tobulinimas (renginių sk.).</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7237" w:rsidRDefault="00127237">
            <w:pPr>
              <w:pStyle w:val="Betarp"/>
              <w:jc w:val="center"/>
              <w:rPr>
                <w:rFonts w:eastAsia="Calibri"/>
                <w:color w:val="000000"/>
                <w:szCs w:val="24"/>
              </w:rPr>
            </w:pPr>
            <w:r>
              <w:rPr>
                <w:rFonts w:eastAsia="Calibri"/>
                <w:color w:val="000000"/>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7237" w:rsidRDefault="00127237">
            <w:pPr>
              <w:pStyle w:val="Betarp"/>
              <w:jc w:val="center"/>
              <w:rPr>
                <w:rFonts w:eastAsia="Calibri"/>
                <w:color w:val="000000"/>
                <w:szCs w:val="24"/>
              </w:rPr>
            </w:pPr>
            <w:r>
              <w:rPr>
                <w:rFonts w:eastAsia="Calibri"/>
                <w:color w:val="000000"/>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7237" w:rsidRDefault="00127237">
            <w:pPr>
              <w:pStyle w:val="Betarp"/>
              <w:jc w:val="center"/>
              <w:rPr>
                <w:rFonts w:eastAsia="Calibri"/>
                <w:color w:val="000000"/>
                <w:szCs w:val="24"/>
              </w:rPr>
            </w:pPr>
            <w:r>
              <w:rPr>
                <w:rFonts w:eastAsia="Calibri"/>
                <w:color w:val="000000"/>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7237" w:rsidRDefault="00127237">
            <w:pPr>
              <w:pStyle w:val="Betarp"/>
              <w:jc w:val="center"/>
              <w:rPr>
                <w:rFonts w:eastAsia="Calibri"/>
                <w:color w:val="000000"/>
                <w:szCs w:val="24"/>
              </w:rPr>
            </w:pPr>
            <w:r>
              <w:rPr>
                <w:rFonts w:eastAsia="Calibri"/>
                <w:color w:val="000000"/>
                <w:szCs w:val="24"/>
              </w:rPr>
              <w:t>2</w:t>
            </w:r>
          </w:p>
        </w:tc>
      </w:tr>
    </w:tbl>
    <w:p w:rsidR="00127237" w:rsidRDefault="00127237" w:rsidP="00127237">
      <w:pPr>
        <w:jc w:val="center"/>
        <w:rPr>
          <w:b/>
          <w:color w:val="000000"/>
          <w:szCs w:val="24"/>
        </w:rPr>
      </w:pPr>
    </w:p>
    <w:p w:rsidR="00127237" w:rsidRDefault="00127237" w:rsidP="00127237">
      <w:pPr>
        <w:tabs>
          <w:tab w:val="left" w:pos="851"/>
        </w:tabs>
        <w:jc w:val="center"/>
        <w:rPr>
          <w:b/>
          <w:color w:val="000000"/>
          <w:szCs w:val="24"/>
        </w:rPr>
      </w:pPr>
      <w:r>
        <w:rPr>
          <w:b/>
          <w:color w:val="000000"/>
          <w:szCs w:val="24"/>
        </w:rPr>
        <w:t>V SKYRIUS</w:t>
      </w:r>
    </w:p>
    <w:p w:rsidR="00127237" w:rsidRDefault="00127237" w:rsidP="00127237">
      <w:pPr>
        <w:jc w:val="center"/>
        <w:rPr>
          <w:b/>
          <w:color w:val="000000"/>
          <w:szCs w:val="24"/>
        </w:rPr>
      </w:pPr>
      <w:r>
        <w:rPr>
          <w:b/>
          <w:bCs/>
          <w:szCs w:val="24"/>
        </w:rPr>
        <w:t>02 TIKSLUI ĮGYVENDINTI SKIRTI UŽDAVINIAI IR PRIEMONĖS</w:t>
      </w:r>
    </w:p>
    <w:p w:rsidR="00127237" w:rsidRDefault="00127237" w:rsidP="00127237">
      <w:pPr>
        <w:jc w:val="both"/>
        <w:rPr>
          <w:b/>
          <w:bCs/>
          <w:szCs w:val="24"/>
        </w:rPr>
      </w:pPr>
    </w:p>
    <w:p w:rsidR="00127237" w:rsidRDefault="00127237" w:rsidP="00127237">
      <w:pPr>
        <w:ind w:firstLine="851"/>
        <w:jc w:val="both"/>
        <w:rPr>
          <w:b/>
          <w:szCs w:val="24"/>
        </w:rPr>
      </w:pPr>
      <w:r>
        <w:rPr>
          <w:b/>
          <w:szCs w:val="24"/>
        </w:rPr>
        <w:t>02.01. Uždavinys. Užtikrinti saugias edukacines ugdymo(</w:t>
      </w:r>
      <w:proofErr w:type="spellStart"/>
      <w:r>
        <w:rPr>
          <w:b/>
          <w:szCs w:val="24"/>
        </w:rPr>
        <w:t>si</w:t>
      </w:r>
      <w:proofErr w:type="spellEnd"/>
      <w:r>
        <w:rPr>
          <w:b/>
          <w:szCs w:val="24"/>
        </w:rPr>
        <w:t>) aplinkas.</w:t>
      </w:r>
    </w:p>
    <w:p w:rsidR="00127237" w:rsidRDefault="00127237" w:rsidP="00127237">
      <w:pPr>
        <w:ind w:firstLine="851"/>
        <w:jc w:val="both"/>
        <w:rPr>
          <w:szCs w:val="24"/>
        </w:rPr>
      </w:pPr>
      <w:r>
        <w:rPr>
          <w:szCs w:val="24"/>
        </w:rPr>
        <w:t>Ugdymo proceso kaita skatina nuolat siekti sudaryti sąlygas lankstesnių ikimokyklinio ugdymo organizavimo modelių taikymui, siekiant šeimoms padėti derinti darbo ir šeimos pareigas.</w:t>
      </w:r>
    </w:p>
    <w:p w:rsidR="00127237" w:rsidRDefault="00127237" w:rsidP="00127237">
      <w:pPr>
        <w:ind w:firstLine="851"/>
        <w:jc w:val="both"/>
        <w:rPr>
          <w:szCs w:val="24"/>
        </w:rPr>
      </w:pPr>
      <w:r>
        <w:rPr>
          <w:szCs w:val="24"/>
        </w:rPr>
        <w:t>Siekiant atvirumo pokyčiams ir inovacijoms, nuolat atnaujinamos ugdymo(</w:t>
      </w:r>
      <w:proofErr w:type="spellStart"/>
      <w:r>
        <w:rPr>
          <w:szCs w:val="24"/>
        </w:rPr>
        <w:t>si</w:t>
      </w:r>
      <w:proofErr w:type="spellEnd"/>
      <w:r>
        <w:rPr>
          <w:szCs w:val="24"/>
        </w:rPr>
        <w:t xml:space="preserve">) priemonės ir aplinka. Atsižvelgiant į ugdymo turinio kaitą, sistemingai </w:t>
      </w:r>
      <w:r>
        <w:rPr>
          <w:color w:val="000000"/>
          <w:szCs w:val="24"/>
        </w:rPr>
        <w:t>papildomos ugdymo(</w:t>
      </w:r>
      <w:proofErr w:type="spellStart"/>
      <w:r>
        <w:rPr>
          <w:color w:val="000000"/>
          <w:szCs w:val="24"/>
        </w:rPr>
        <w:t>si</w:t>
      </w:r>
      <w:proofErr w:type="spellEnd"/>
      <w:r>
        <w:rPr>
          <w:color w:val="000000"/>
          <w:szCs w:val="24"/>
        </w:rPr>
        <w:t>) priemonės</w:t>
      </w:r>
      <w:r>
        <w:rPr>
          <w:szCs w:val="24"/>
        </w:rPr>
        <w:t xml:space="preserve"> kompetencijų centrų veikloms organizuoti. </w:t>
      </w:r>
      <w:r>
        <w:rPr>
          <w:bCs/>
          <w:iCs/>
          <w:szCs w:val="24"/>
        </w:rPr>
        <w:t>Tam naudojamos mokymo ir paramos lėšos.</w:t>
      </w:r>
    </w:p>
    <w:p w:rsidR="00127237" w:rsidRDefault="00127237" w:rsidP="00127237">
      <w:pPr>
        <w:ind w:firstLine="851"/>
        <w:jc w:val="both"/>
        <w:rPr>
          <w:b/>
          <w:szCs w:val="24"/>
        </w:rPr>
      </w:pPr>
      <w:r>
        <w:rPr>
          <w:b/>
          <w:szCs w:val="24"/>
        </w:rPr>
        <w:t>Priemonės:</w:t>
      </w:r>
    </w:p>
    <w:p w:rsidR="00127237" w:rsidRDefault="00127237" w:rsidP="00127237">
      <w:pPr>
        <w:ind w:firstLine="851"/>
        <w:jc w:val="both"/>
        <w:rPr>
          <w:szCs w:val="24"/>
        </w:rPr>
      </w:pPr>
      <w:r>
        <w:rPr>
          <w:szCs w:val="24"/>
        </w:rPr>
        <w:t>02.01.01. Ugdymo(</w:t>
      </w:r>
      <w:proofErr w:type="spellStart"/>
      <w:r>
        <w:rPr>
          <w:szCs w:val="24"/>
        </w:rPr>
        <w:t>si</w:t>
      </w:r>
      <w:proofErr w:type="spellEnd"/>
      <w:r>
        <w:rPr>
          <w:szCs w:val="24"/>
        </w:rPr>
        <w:t>) priemonių aplinkai ikimokykliniam ir priešmokykliniam ugdymui įsigijimas.</w:t>
      </w:r>
    </w:p>
    <w:p w:rsidR="00127237" w:rsidRDefault="00127237" w:rsidP="00127237">
      <w:pPr>
        <w:ind w:firstLine="851"/>
        <w:jc w:val="both"/>
        <w:rPr>
          <w:szCs w:val="24"/>
        </w:rPr>
      </w:pPr>
      <w:r>
        <w:rPr>
          <w:szCs w:val="24"/>
        </w:rPr>
        <w:t>02.01.02. Edukacinių priemonių įsigijimas (erdvių įrengimas) veikloms organizuoti lauke.</w:t>
      </w:r>
    </w:p>
    <w:p w:rsidR="00127237" w:rsidRDefault="00127237" w:rsidP="00127237">
      <w:pPr>
        <w:ind w:firstLine="851"/>
        <w:jc w:val="both"/>
        <w:rPr>
          <w:szCs w:val="24"/>
        </w:rPr>
      </w:pPr>
      <w:r>
        <w:rPr>
          <w:color w:val="000000"/>
          <w:szCs w:val="24"/>
        </w:rPr>
        <w:t>02.01.03.</w:t>
      </w:r>
      <w:r>
        <w:rPr>
          <w:szCs w:val="24"/>
        </w:rPr>
        <w:t> Krepšinio aikštelės modernizavimas.</w:t>
      </w:r>
    </w:p>
    <w:p w:rsidR="00127237" w:rsidRDefault="00127237" w:rsidP="00127237">
      <w:pPr>
        <w:ind w:firstLine="851"/>
        <w:jc w:val="both"/>
        <w:rPr>
          <w:szCs w:val="24"/>
        </w:rPr>
      </w:pPr>
      <w:r>
        <w:rPr>
          <w:szCs w:val="24"/>
        </w:rPr>
        <w:t>02.01.04. Žaidimo aikštelių modernizavimas.</w:t>
      </w:r>
    </w:p>
    <w:p w:rsidR="00127237" w:rsidRDefault="00127237" w:rsidP="00127237">
      <w:pPr>
        <w:ind w:firstLine="851"/>
        <w:jc w:val="both"/>
        <w:rPr>
          <w:b/>
          <w:szCs w:val="24"/>
        </w:rPr>
      </w:pPr>
      <w:r>
        <w:rPr>
          <w:b/>
          <w:szCs w:val="24"/>
        </w:rPr>
        <w:t xml:space="preserve">02.02. Uždavinys. </w:t>
      </w:r>
      <w:r>
        <w:rPr>
          <w:b/>
          <w:color w:val="000000"/>
          <w:szCs w:val="24"/>
        </w:rPr>
        <w:t xml:space="preserve">Užtikrinti įstaigos </w:t>
      </w:r>
      <w:r>
        <w:rPr>
          <w:b/>
          <w:szCs w:val="24"/>
        </w:rPr>
        <w:t>funkcionavimą.</w:t>
      </w:r>
    </w:p>
    <w:p w:rsidR="00127237" w:rsidRDefault="00127237" w:rsidP="00127237">
      <w:pPr>
        <w:ind w:firstLine="851"/>
        <w:jc w:val="both"/>
        <w:rPr>
          <w:b/>
          <w:szCs w:val="24"/>
        </w:rPr>
      </w:pPr>
      <w:r>
        <w:rPr>
          <w:szCs w:val="24"/>
        </w:rPr>
        <w:t>Būtinas finansavimas, siekiant užtikrinti kokybiškas higienines sąlygas. Priežiūrą vykdančios institucijos nurodo, kurias sritis reikia atnaujinti: pastato remonto darbai; lauko priemonių bei įrenginių atitikimas higienos normoms.</w:t>
      </w:r>
    </w:p>
    <w:p w:rsidR="00127237" w:rsidRDefault="00127237" w:rsidP="00127237">
      <w:pPr>
        <w:ind w:firstLine="851"/>
        <w:jc w:val="both"/>
        <w:rPr>
          <w:b/>
          <w:szCs w:val="24"/>
        </w:rPr>
      </w:pPr>
      <w:r>
        <w:rPr>
          <w:b/>
          <w:szCs w:val="24"/>
        </w:rPr>
        <w:t>Priemonės:</w:t>
      </w:r>
    </w:p>
    <w:p w:rsidR="00127237" w:rsidRDefault="00127237" w:rsidP="00127237">
      <w:pPr>
        <w:ind w:firstLine="851"/>
        <w:jc w:val="both"/>
        <w:rPr>
          <w:szCs w:val="24"/>
        </w:rPr>
      </w:pPr>
      <w:r>
        <w:rPr>
          <w:szCs w:val="24"/>
        </w:rPr>
        <w:t>02.02.01. Lauko įrenginių įsigijimas ir aplinkos gerinimas.</w:t>
      </w:r>
    </w:p>
    <w:p w:rsidR="00127237" w:rsidRDefault="00127237" w:rsidP="00127237">
      <w:pPr>
        <w:ind w:firstLine="851"/>
        <w:jc w:val="both"/>
        <w:rPr>
          <w:szCs w:val="24"/>
        </w:rPr>
      </w:pPr>
      <w:r>
        <w:rPr>
          <w:szCs w:val="24"/>
        </w:rPr>
        <w:t>02.02.02. Teritorijoje esančių pėsčiųjų takų ir įvažiavimo dangos keitimas.</w:t>
      </w:r>
    </w:p>
    <w:p w:rsidR="00127237" w:rsidRDefault="00127237" w:rsidP="00127237">
      <w:pPr>
        <w:ind w:firstLine="851"/>
        <w:jc w:val="both"/>
        <w:rPr>
          <w:szCs w:val="24"/>
        </w:rPr>
      </w:pPr>
      <w:r>
        <w:rPr>
          <w:szCs w:val="24"/>
        </w:rPr>
        <w:t>02.02.03. Darbuotojų kvalifikacijos tobulinimas, atsižvelgiant į asmeninį poreikį.</w:t>
      </w:r>
    </w:p>
    <w:p w:rsidR="00127237" w:rsidRDefault="00127237" w:rsidP="00127237">
      <w:pPr>
        <w:jc w:val="both"/>
        <w:rPr>
          <w:b/>
          <w:szCs w:val="24"/>
        </w:rPr>
      </w:pPr>
    </w:p>
    <w:p w:rsidR="00127237" w:rsidRDefault="00127237" w:rsidP="00127237">
      <w:pPr>
        <w:ind w:firstLine="851"/>
        <w:jc w:val="both"/>
        <w:rPr>
          <w:b/>
          <w:szCs w:val="24"/>
        </w:rPr>
      </w:pPr>
      <w:r>
        <w:rPr>
          <w:b/>
          <w:szCs w:val="24"/>
        </w:rPr>
        <w:t>Veiklos plano priedai</w:t>
      </w:r>
    </w:p>
    <w:p w:rsidR="00127237" w:rsidRDefault="00127237" w:rsidP="00127237">
      <w:pPr>
        <w:ind w:firstLine="851"/>
        <w:jc w:val="both"/>
        <w:rPr>
          <w:szCs w:val="24"/>
        </w:rPr>
      </w:pPr>
      <w:r>
        <w:rPr>
          <w:szCs w:val="24"/>
        </w:rPr>
        <w:t>1. Bendras lėšų poreikis ir numatomi finansavimo šaltiniai.</w:t>
      </w:r>
    </w:p>
    <w:p w:rsidR="00127237" w:rsidRDefault="00127237" w:rsidP="00127237">
      <w:pPr>
        <w:ind w:firstLine="851"/>
        <w:jc w:val="both"/>
        <w:rPr>
          <w:szCs w:val="24"/>
        </w:rPr>
      </w:pPr>
      <w:r>
        <w:rPr>
          <w:szCs w:val="24"/>
        </w:rPr>
        <w:t>2. 2022–2024 metų strateginio veiklos plano tikslų, uždavinių, priemonių, priemonių išlaidų ir produkto kriterijų suvestinė.</w:t>
      </w:r>
    </w:p>
    <w:p w:rsidR="00127237" w:rsidRDefault="00127237" w:rsidP="00127237">
      <w:pPr>
        <w:ind w:firstLine="851"/>
        <w:jc w:val="both"/>
        <w:rPr>
          <w:szCs w:val="24"/>
        </w:rPr>
      </w:pPr>
      <w:r>
        <w:rPr>
          <w:szCs w:val="24"/>
        </w:rPr>
        <w:t>3. STRAPIS kopija.</w:t>
      </w:r>
    </w:p>
    <w:p w:rsidR="00127237" w:rsidRDefault="00127237" w:rsidP="00127237">
      <w:pPr>
        <w:tabs>
          <w:tab w:val="left" w:pos="709"/>
        </w:tabs>
        <w:jc w:val="center"/>
        <w:rPr>
          <w:bCs/>
          <w:szCs w:val="24"/>
        </w:rPr>
      </w:pPr>
      <w:r>
        <w:rPr>
          <w:szCs w:val="24"/>
        </w:rPr>
        <w:t>_______________________________</w:t>
      </w:r>
    </w:p>
    <w:p w:rsidR="00127237" w:rsidRDefault="00127237" w:rsidP="00127237">
      <w:pPr>
        <w:tabs>
          <w:tab w:val="left" w:pos="709"/>
        </w:tabs>
        <w:jc w:val="center"/>
        <w:rPr>
          <w:bCs/>
          <w:szCs w:val="24"/>
        </w:rPr>
      </w:pPr>
    </w:p>
    <w:p w:rsidR="00127237" w:rsidRDefault="00127237" w:rsidP="00127237">
      <w:pPr>
        <w:ind w:right="-4821"/>
        <w:jc w:val="both"/>
        <w:rPr>
          <w:szCs w:val="24"/>
        </w:rPr>
      </w:pPr>
    </w:p>
    <w:p w:rsidR="00127237" w:rsidRDefault="00127237" w:rsidP="00127237">
      <w:pPr>
        <w:ind w:right="-4821"/>
        <w:jc w:val="both"/>
        <w:rPr>
          <w:szCs w:val="24"/>
          <w:highlight w:val="yellow"/>
        </w:rPr>
      </w:pPr>
      <w:r>
        <w:rPr>
          <w:szCs w:val="24"/>
        </w:rPr>
        <w:t xml:space="preserve">SUDERINTA </w:t>
      </w:r>
      <w:r>
        <w:rPr>
          <w:szCs w:val="24"/>
        </w:rPr>
        <w:tab/>
      </w:r>
      <w:r>
        <w:rPr>
          <w:szCs w:val="24"/>
        </w:rPr>
        <w:tab/>
      </w:r>
      <w:r>
        <w:rPr>
          <w:szCs w:val="24"/>
        </w:rPr>
        <w:tab/>
      </w:r>
      <w:proofErr w:type="spellStart"/>
      <w:r>
        <w:rPr>
          <w:szCs w:val="24"/>
        </w:rPr>
        <w:t>SUDERINTA</w:t>
      </w:r>
      <w:proofErr w:type="spellEnd"/>
      <w:r>
        <w:rPr>
          <w:szCs w:val="24"/>
        </w:rPr>
        <w:t xml:space="preserve">                               </w:t>
      </w:r>
    </w:p>
    <w:p w:rsidR="00127237" w:rsidRDefault="00127237" w:rsidP="00127237">
      <w:pPr>
        <w:ind w:right="-425"/>
        <w:jc w:val="both"/>
        <w:rPr>
          <w:szCs w:val="24"/>
        </w:rPr>
      </w:pPr>
      <w:r>
        <w:rPr>
          <w:szCs w:val="24"/>
        </w:rPr>
        <w:t xml:space="preserve">Lopšelio-darželio tarybos pirmininkas </w:t>
      </w:r>
      <w:r>
        <w:rPr>
          <w:szCs w:val="24"/>
        </w:rPr>
        <w:tab/>
      </w:r>
      <w:r>
        <w:rPr>
          <w:szCs w:val="24"/>
        </w:rPr>
        <w:tab/>
        <w:t>Šiaulių miesto savivaldybės administracijos</w:t>
      </w:r>
    </w:p>
    <w:p w:rsidR="00127237" w:rsidRDefault="00127237" w:rsidP="00127237">
      <w:pPr>
        <w:ind w:left="3888" w:right="-425" w:firstLine="1296"/>
        <w:jc w:val="both"/>
        <w:rPr>
          <w:szCs w:val="24"/>
        </w:rPr>
      </w:pPr>
      <w:r>
        <w:rPr>
          <w:szCs w:val="24"/>
        </w:rPr>
        <w:t>Švietimo skyriaus vedėja</w:t>
      </w:r>
    </w:p>
    <w:p w:rsidR="00127237" w:rsidRDefault="00127237" w:rsidP="00127237">
      <w:pPr>
        <w:ind w:right="-425"/>
        <w:jc w:val="both"/>
        <w:rPr>
          <w:szCs w:val="24"/>
        </w:rPr>
      </w:pPr>
      <w:r>
        <w:rPr>
          <w:szCs w:val="24"/>
        </w:rPr>
        <w:t>Saulius Matuzevičius</w:t>
      </w:r>
      <w:r>
        <w:rPr>
          <w:szCs w:val="24"/>
        </w:rPr>
        <w:tab/>
      </w:r>
      <w:r>
        <w:rPr>
          <w:szCs w:val="24"/>
        </w:rPr>
        <w:tab/>
      </w:r>
      <w:r>
        <w:rPr>
          <w:szCs w:val="24"/>
        </w:rPr>
        <w:tab/>
      </w:r>
    </w:p>
    <w:p w:rsidR="00127237" w:rsidRDefault="00127237" w:rsidP="00127237">
      <w:pPr>
        <w:ind w:right="-425"/>
        <w:jc w:val="both"/>
        <w:rPr>
          <w:szCs w:val="24"/>
        </w:rPr>
      </w:pPr>
      <w:r>
        <w:rPr>
          <w:szCs w:val="24"/>
        </w:rPr>
        <w:t>2021-11-29</w:t>
      </w:r>
      <w:r w:rsidRPr="00127237">
        <w:rPr>
          <w:szCs w:val="24"/>
        </w:rPr>
        <w:t xml:space="preserve"> </w:t>
      </w:r>
      <w:r>
        <w:rPr>
          <w:szCs w:val="24"/>
        </w:rPr>
        <w:tab/>
      </w:r>
      <w:r>
        <w:rPr>
          <w:szCs w:val="24"/>
        </w:rPr>
        <w:tab/>
      </w:r>
      <w:r>
        <w:rPr>
          <w:szCs w:val="24"/>
        </w:rPr>
        <w:tab/>
      </w:r>
      <w:r>
        <w:rPr>
          <w:szCs w:val="24"/>
        </w:rPr>
        <w:tab/>
      </w:r>
      <w:r>
        <w:rPr>
          <w:szCs w:val="24"/>
        </w:rPr>
        <w:t xml:space="preserve">Edita </w:t>
      </w:r>
      <w:proofErr w:type="spellStart"/>
      <w:r>
        <w:rPr>
          <w:szCs w:val="24"/>
        </w:rPr>
        <w:t>Minkuvienė</w:t>
      </w:r>
      <w:proofErr w:type="spellEnd"/>
    </w:p>
    <w:p w:rsidR="00127237" w:rsidRDefault="00127237" w:rsidP="00127237">
      <w:pPr>
        <w:jc w:val="both"/>
        <w:rPr>
          <w:szCs w:val="24"/>
        </w:rPr>
      </w:pPr>
      <w:r>
        <w:rPr>
          <w:szCs w:val="24"/>
        </w:rPr>
        <w:tab/>
      </w:r>
      <w:r>
        <w:rPr>
          <w:szCs w:val="24"/>
        </w:rPr>
        <w:tab/>
      </w:r>
      <w:r>
        <w:rPr>
          <w:szCs w:val="24"/>
        </w:rPr>
        <w:tab/>
      </w:r>
      <w:r>
        <w:rPr>
          <w:szCs w:val="24"/>
        </w:rPr>
        <w:tab/>
      </w:r>
      <w:r>
        <w:rPr>
          <w:szCs w:val="24"/>
        </w:rPr>
        <w:t>2021-12-</w:t>
      </w:r>
    </w:p>
    <w:p w:rsidR="00127237" w:rsidRDefault="00127237" w:rsidP="00127237">
      <w:pPr>
        <w:jc w:val="both"/>
        <w:rPr>
          <w:szCs w:val="24"/>
        </w:rPr>
      </w:pPr>
      <w:r>
        <w:rPr>
          <w:szCs w:val="24"/>
        </w:rPr>
        <w:tab/>
      </w:r>
      <w:r>
        <w:rPr>
          <w:szCs w:val="24"/>
        </w:rPr>
        <w:tab/>
      </w:r>
      <w:r>
        <w:rPr>
          <w:szCs w:val="24"/>
        </w:rPr>
        <w:tab/>
      </w:r>
      <w:r>
        <w:rPr>
          <w:szCs w:val="24"/>
        </w:rPr>
        <w:tab/>
      </w:r>
    </w:p>
    <w:p w:rsidR="00127237" w:rsidRDefault="00127237" w:rsidP="00127237">
      <w:pPr>
        <w:jc w:val="both"/>
        <w:rPr>
          <w:szCs w:val="24"/>
        </w:rPr>
      </w:pPr>
    </w:p>
    <w:p w:rsidR="00127237" w:rsidRDefault="00127237" w:rsidP="00127237">
      <w:pPr>
        <w:rPr>
          <w:szCs w:val="24"/>
        </w:rPr>
      </w:pPr>
    </w:p>
    <w:p w:rsidR="00CF7B7B" w:rsidRDefault="00CF7B7B"/>
    <w:sectPr w:rsidR="00CF7B7B" w:rsidSect="00127237">
      <w:headerReference w:type="default" r:id="rId8"/>
      <w:pgSz w:w="11906" w:h="16838"/>
      <w:pgMar w:top="1134" w:right="567" w:bottom="1134" w:left="1701" w:header="567" w:footer="567" w:gutter="0"/>
      <w:pgNumType w:start="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809" w:rsidRDefault="00B22809" w:rsidP="00127237">
      <w:r>
        <w:separator/>
      </w:r>
    </w:p>
  </w:endnote>
  <w:endnote w:type="continuationSeparator" w:id="0">
    <w:p w:rsidR="00B22809" w:rsidRDefault="00B22809" w:rsidP="0012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7A87" w:usb1="80000000" w:usb2="00000008" w:usb3="00000000" w:csb0="000000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809" w:rsidRDefault="00B22809" w:rsidP="00127237">
      <w:r>
        <w:separator/>
      </w:r>
    </w:p>
  </w:footnote>
  <w:footnote w:type="continuationSeparator" w:id="0">
    <w:p w:rsidR="00B22809" w:rsidRDefault="00B22809" w:rsidP="00127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237" w:rsidRDefault="00127237">
    <w:pPr>
      <w:pStyle w:val="Antrats"/>
      <w:jc w:val="center"/>
    </w:pPr>
  </w:p>
  <w:p w:rsidR="00127237" w:rsidRDefault="00127237" w:rsidP="00127237">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01388"/>
    <w:multiLevelType w:val="multilevel"/>
    <w:tmpl w:val="EA08FD70"/>
    <w:lvl w:ilvl="0">
      <w:start w:val="1"/>
      <w:numFmt w:val="decimalZero"/>
      <w:lvlText w:val="%1"/>
      <w:lvlJc w:val="left"/>
      <w:pPr>
        <w:ind w:left="720" w:hanging="360"/>
      </w:pPr>
    </w:lvl>
    <w:lvl w:ilvl="1">
      <w:start w:val="1"/>
      <w:numFmt w:val="decimalZero"/>
      <w:isLgl/>
      <w:lvlText w:val="%1.%2."/>
      <w:lvlJc w:val="left"/>
      <w:pPr>
        <w:ind w:left="960" w:hanging="60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67"/>
    <w:rsid w:val="00127237"/>
    <w:rsid w:val="00B22809"/>
    <w:rsid w:val="00CF7B7B"/>
    <w:rsid w:val="00D16E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CBA9C6-7E25-4156-A0A7-B5A1E4AA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723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127237"/>
    <w:pPr>
      <w:jc w:val="center"/>
    </w:pPr>
    <w:rPr>
      <w:b/>
      <w:bCs/>
      <w:sz w:val="28"/>
      <w:szCs w:val="24"/>
      <w:lang w:eastAsia="lt-LT"/>
    </w:rPr>
  </w:style>
  <w:style w:type="character" w:customStyle="1" w:styleId="PavadinimasDiagrama">
    <w:name w:val="Pavadinimas Diagrama"/>
    <w:basedOn w:val="Numatytasispastraiposriftas"/>
    <w:link w:val="Pavadinimas"/>
    <w:rsid w:val="00127237"/>
    <w:rPr>
      <w:rFonts w:ascii="Times New Roman" w:eastAsia="Times New Roman" w:hAnsi="Times New Roman" w:cs="Times New Roman"/>
      <w:b/>
      <w:bCs/>
      <w:sz w:val="28"/>
      <w:szCs w:val="24"/>
      <w:lang w:eastAsia="lt-LT"/>
    </w:rPr>
  </w:style>
  <w:style w:type="paragraph" w:styleId="Pagrindinistekstas">
    <w:name w:val="Body Text"/>
    <w:basedOn w:val="prastasis"/>
    <w:link w:val="PagrindinistekstasDiagrama"/>
    <w:semiHidden/>
    <w:unhideWhenUsed/>
    <w:rsid w:val="00127237"/>
    <w:pPr>
      <w:jc w:val="both"/>
    </w:pPr>
    <w:rPr>
      <w:rFonts w:ascii="TIMESLT" w:hAnsi="TIMESLT"/>
    </w:rPr>
  </w:style>
  <w:style w:type="character" w:customStyle="1" w:styleId="PagrindinistekstasDiagrama">
    <w:name w:val="Pagrindinis tekstas Diagrama"/>
    <w:basedOn w:val="Numatytasispastraiposriftas"/>
    <w:link w:val="Pagrindinistekstas"/>
    <w:semiHidden/>
    <w:rsid w:val="00127237"/>
    <w:rPr>
      <w:rFonts w:ascii="TIMESLT" w:eastAsia="Times New Roman" w:hAnsi="TIMESLT" w:cs="Times New Roman"/>
      <w:sz w:val="24"/>
      <w:szCs w:val="20"/>
    </w:rPr>
  </w:style>
  <w:style w:type="paragraph" w:styleId="Betarp">
    <w:name w:val="No Spacing"/>
    <w:qFormat/>
    <w:rsid w:val="00127237"/>
    <w:pPr>
      <w:spacing w:after="0" w:line="240" w:lineRule="auto"/>
    </w:pPr>
    <w:rPr>
      <w:rFonts w:ascii="Times New Roman" w:eastAsia="Times New Roman" w:hAnsi="Times New Roman" w:cs="Times New Roman"/>
      <w:sz w:val="24"/>
      <w:szCs w:val="20"/>
    </w:rPr>
  </w:style>
  <w:style w:type="paragraph" w:styleId="Sraopastraipa">
    <w:name w:val="List Paragraph"/>
    <w:basedOn w:val="prastasis"/>
    <w:uiPriority w:val="34"/>
    <w:qFormat/>
    <w:rsid w:val="00127237"/>
    <w:pPr>
      <w:suppressAutoHyphens/>
      <w:ind w:left="720"/>
      <w:contextualSpacing/>
    </w:pPr>
    <w:rPr>
      <w:szCs w:val="24"/>
      <w:lang w:eastAsia="ar-SA"/>
    </w:rPr>
  </w:style>
  <w:style w:type="paragraph" w:styleId="Antrats">
    <w:name w:val="header"/>
    <w:basedOn w:val="prastasis"/>
    <w:link w:val="AntratsDiagrama"/>
    <w:uiPriority w:val="99"/>
    <w:unhideWhenUsed/>
    <w:rsid w:val="00127237"/>
    <w:pPr>
      <w:tabs>
        <w:tab w:val="center" w:pos="4819"/>
        <w:tab w:val="right" w:pos="9638"/>
      </w:tabs>
    </w:pPr>
  </w:style>
  <w:style w:type="character" w:customStyle="1" w:styleId="AntratsDiagrama">
    <w:name w:val="Antraštės Diagrama"/>
    <w:basedOn w:val="Numatytasispastraiposriftas"/>
    <w:link w:val="Antrats"/>
    <w:uiPriority w:val="99"/>
    <w:rsid w:val="0012723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127237"/>
    <w:pPr>
      <w:tabs>
        <w:tab w:val="center" w:pos="4819"/>
        <w:tab w:val="right" w:pos="9638"/>
      </w:tabs>
    </w:pPr>
  </w:style>
  <w:style w:type="character" w:customStyle="1" w:styleId="PoratDiagrama">
    <w:name w:val="Poraštė Diagrama"/>
    <w:basedOn w:val="Numatytasispastraiposriftas"/>
    <w:link w:val="Porat"/>
    <w:uiPriority w:val="99"/>
    <w:rsid w:val="0012723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28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4BEFE-171F-4554-84C7-DEF92118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10313</Words>
  <Characters>5879</Characters>
  <Application>Microsoft Office Word</Application>
  <DocSecurity>0</DocSecurity>
  <Lines>48</Lines>
  <Paragraphs>32</Paragraphs>
  <ScaleCrop>false</ScaleCrop>
  <Company/>
  <LinksUpToDate>false</LinksUpToDate>
  <CharactersWithSpaces>16160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„Microsoft“ abonementas</cp:lastModifiedBy>
  <cp:revision>2</cp:revision>
  <dcterms:created xsi:type="dcterms:W3CDTF">2021-12-23T11:39:00Z</dcterms:created>
  <dcterms:modified xsi:type="dcterms:W3CDTF">2021-12-23T11:46:00Z</dcterms:modified>
</cp:coreProperties>
</file>